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heme="minorEastAsia" w:hAnsiTheme="minorEastAsia" w:eastAsiaTheme="minorEastAsia"/>
          <w:sz w:val="32"/>
          <w:szCs w:val="32"/>
        </w:rPr>
      </w:pPr>
      <w:r>
        <w:rPr>
          <w:rFonts w:hint="eastAsia" w:asciiTheme="minorEastAsia" w:hAnsiTheme="minorEastAsia" w:eastAsiaTheme="minorEastAsia"/>
          <w:sz w:val="32"/>
          <w:szCs w:val="32"/>
        </w:rPr>
        <w:t>附件2</w:t>
      </w:r>
    </w:p>
    <w:p>
      <w:pPr>
        <w:spacing w:line="560" w:lineRule="exact"/>
        <w:ind w:firstLine="720" w:firstLineChars="200"/>
        <w:jc w:val="center"/>
        <w:rPr>
          <w:rFonts w:ascii="方正小标宋简体" w:hAnsi="仿宋" w:eastAsia="方正小标宋简体" w:cs="仿宋"/>
          <w:sz w:val="36"/>
          <w:szCs w:val="36"/>
        </w:rPr>
      </w:pPr>
      <w:r>
        <w:rPr>
          <w:rFonts w:hint="eastAsia" w:ascii="方正小标宋简体" w:hAnsi="仿宋" w:eastAsia="方正小标宋简体" w:cs="仿宋"/>
          <w:sz w:val="36"/>
          <w:szCs w:val="36"/>
        </w:rPr>
        <w:t>北京健康养老集团有限公司</w:t>
      </w:r>
    </w:p>
    <w:p>
      <w:pPr>
        <w:spacing w:line="560" w:lineRule="exact"/>
        <w:ind w:firstLine="720" w:firstLineChars="200"/>
        <w:jc w:val="center"/>
        <w:rPr>
          <w:rFonts w:ascii="方正小标宋简体" w:hAnsi="仿宋" w:eastAsia="方正小标宋简体" w:cs="仿宋"/>
          <w:sz w:val="36"/>
          <w:szCs w:val="36"/>
        </w:rPr>
      </w:pPr>
      <w:r>
        <w:rPr>
          <w:rFonts w:hint="eastAsia" w:ascii="方正小标宋简体" w:hAnsi="仿宋" w:eastAsia="方正小标宋简体" w:cs="仿宋"/>
          <w:sz w:val="36"/>
          <w:szCs w:val="36"/>
        </w:rPr>
        <w:t>市场化选聘岗位职责及任职资格</w:t>
      </w:r>
    </w:p>
    <w:p>
      <w:pPr>
        <w:spacing w:line="600" w:lineRule="exact"/>
        <w:ind w:firstLine="640" w:firstLineChars="200"/>
        <w:outlineLvl w:val="0"/>
        <w:rPr>
          <w:rFonts w:ascii="黑体" w:hAnsi="黑体" w:eastAsia="黑体" w:cs="仿宋"/>
          <w:bCs/>
          <w:sz w:val="32"/>
          <w:szCs w:val="32"/>
        </w:rPr>
      </w:pPr>
      <w:r>
        <w:rPr>
          <w:rFonts w:hint="eastAsia" w:ascii="黑体" w:hAnsi="黑体" w:eastAsia="黑体" w:cs="黑体"/>
          <w:sz w:val="32"/>
          <w:szCs w:val="32"/>
        </w:rPr>
        <w:t>一、岗位职责</w:t>
      </w:r>
    </w:p>
    <w:p>
      <w:pPr>
        <w:spacing w:line="600" w:lineRule="exact"/>
        <w:ind w:firstLine="640" w:firstLineChars="200"/>
        <w:rPr>
          <w:rFonts w:ascii="楷体" w:hAnsi="楷体" w:eastAsia="楷体" w:cs="黑体"/>
          <w:bCs/>
          <w:sz w:val="32"/>
          <w:szCs w:val="32"/>
        </w:rPr>
      </w:pPr>
      <w:r>
        <w:rPr>
          <w:rFonts w:hint="eastAsia" w:ascii="楷体" w:hAnsi="楷体" w:eastAsia="楷体" w:cs="黑体"/>
          <w:bCs/>
          <w:sz w:val="32"/>
          <w:szCs w:val="32"/>
        </w:rPr>
        <w:t>（一）北京康养中层管理人员</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1.财务管理部</w:t>
      </w:r>
    </w:p>
    <w:p>
      <w:pPr>
        <w:pStyle w:val="19"/>
        <w:spacing w:line="560" w:lineRule="exact"/>
        <w:ind w:firstLine="643"/>
        <w:outlineLvl w:val="0"/>
        <w:rPr>
          <w:rFonts w:ascii="仿宋" w:hAnsi="仿宋" w:eastAsia="仿宋" w:cs="黑体"/>
          <w:b/>
          <w:sz w:val="32"/>
          <w:szCs w:val="32"/>
        </w:rPr>
      </w:pPr>
      <w:r>
        <w:rPr>
          <w:rFonts w:hint="eastAsia" w:ascii="仿宋" w:hAnsi="仿宋" w:eastAsia="仿宋" w:cs="黑体"/>
          <w:b/>
          <w:sz w:val="32"/>
          <w:szCs w:val="32"/>
        </w:rPr>
        <w:t>财务管理部部长</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（1）负责财务管理部全面管理工作；</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（2）组织编制公司预算方案，建立财务预测分析评价体系、管理会计体系与成本管理体系；</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（3）组织和规范公司会计核算工作及日常财务审核报销工作；</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（4）组织开展公司财务报表的编制工作、相关财务统计工作和企业年终决算等相关工作；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（5）制定公司资金集中管理标准、银行账户管理标准，编制资金使用、支出计划，制定筹融资方案；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（6）对公司及所属企业的借款、担保、委托贷款、开立保函、保险等重大事项进行审核控制，组织</w:t>
      </w:r>
      <w:r>
        <w:rPr>
          <w:rFonts w:hint="eastAsia" w:ascii="仿宋" w:hAnsi="仿宋" w:eastAsia="仿宋" w:cs="仿宋"/>
          <w:sz w:val="32"/>
          <w:szCs w:val="32"/>
          <w:lang w:val="en-US" w:eastAsia="zh-CN"/>
        </w:rPr>
        <w:t>开展</w:t>
      </w:r>
      <w:r>
        <w:rPr>
          <w:rFonts w:hint="eastAsia" w:ascii="仿宋" w:hAnsi="仿宋" w:eastAsia="仿宋" w:cs="仿宋"/>
          <w:sz w:val="32"/>
          <w:szCs w:val="32"/>
        </w:rPr>
        <w:t>重大投资、财务事项及财务风险管控</w:t>
      </w:r>
      <w:r>
        <w:rPr>
          <w:rFonts w:hint="eastAsia" w:ascii="仿宋" w:hAnsi="仿宋" w:eastAsia="仿宋" w:cs="仿宋"/>
          <w:sz w:val="32"/>
          <w:szCs w:val="32"/>
          <w:lang w:val="en-US" w:eastAsia="zh-CN"/>
        </w:rPr>
        <w:t>工作</w:t>
      </w:r>
      <w:r>
        <w:rPr>
          <w:rFonts w:hint="eastAsia" w:ascii="仿宋" w:hAnsi="仿宋" w:eastAsia="仿宋" w:cs="仿宋"/>
          <w:sz w:val="32"/>
          <w:szCs w:val="32"/>
        </w:rPr>
        <w:t>；</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（7）制定税务管理标准和税务筹划总体方案；</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（8）配合纪检、内审部门、外部审计、财政、税务等机构，开展财务检查和相关工作。</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2.法律合规部</w:t>
      </w:r>
    </w:p>
    <w:p>
      <w:pPr>
        <w:pStyle w:val="19"/>
        <w:spacing w:line="560" w:lineRule="exact"/>
        <w:ind w:firstLine="643"/>
        <w:outlineLvl w:val="0"/>
        <w:rPr>
          <w:rFonts w:ascii="仿宋" w:hAnsi="仿宋" w:eastAsia="仿宋" w:cs="仿宋"/>
          <w:b/>
          <w:sz w:val="32"/>
          <w:szCs w:val="32"/>
        </w:rPr>
      </w:pPr>
      <w:r>
        <w:rPr>
          <w:rFonts w:hint="eastAsia" w:ascii="仿宋" w:hAnsi="仿宋" w:eastAsia="仿宋" w:cs="仿宋"/>
          <w:b/>
          <w:sz w:val="32"/>
          <w:szCs w:val="32"/>
        </w:rPr>
        <w:t>法律合规部部长</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（1）负责法律合规部全面管理工作；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（2）组织</w:t>
      </w:r>
      <w:r>
        <w:rPr>
          <w:rFonts w:ascii="仿宋" w:hAnsi="仿宋" w:eastAsia="仿宋" w:cs="仿宋"/>
          <w:sz w:val="32"/>
          <w:szCs w:val="32"/>
        </w:rPr>
        <w:t>公司法治体系建设及法律事务管理</w:t>
      </w:r>
      <w:r>
        <w:rPr>
          <w:rFonts w:hint="eastAsia" w:ascii="仿宋" w:hAnsi="仿宋" w:eastAsia="仿宋" w:cs="仿宋"/>
          <w:sz w:val="32"/>
          <w:szCs w:val="32"/>
        </w:rPr>
        <w:t>工作，开展</w:t>
      </w:r>
      <w:r>
        <w:rPr>
          <w:rFonts w:hint="eastAsia" w:ascii="仿宋" w:hAnsi="仿宋" w:eastAsia="仿宋"/>
          <w:sz w:val="32"/>
          <w:szCs w:val="32"/>
        </w:rPr>
        <w:t>知识产权保护有关法律工作，对公司的重大投资、经营决策的论证和实施提出法律意见，参与公司重大经营管理活动，处理相关法律事务</w:t>
      </w:r>
      <w:r>
        <w:rPr>
          <w:rFonts w:hint="eastAsia" w:ascii="仿宋" w:hAnsi="仿宋" w:eastAsia="仿宋" w:cs="仿宋_GB2312"/>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（3）组织开展</w:t>
      </w:r>
      <w:r>
        <w:rPr>
          <w:rFonts w:ascii="仿宋" w:hAnsi="仿宋" w:eastAsia="仿宋" w:cs="仿宋"/>
          <w:sz w:val="32"/>
          <w:szCs w:val="32"/>
        </w:rPr>
        <w:t>公司合同管理</w:t>
      </w:r>
      <w:r>
        <w:rPr>
          <w:rFonts w:hint="eastAsia" w:ascii="仿宋" w:hAnsi="仿宋" w:eastAsia="仿宋" w:cs="仿宋"/>
          <w:sz w:val="32"/>
          <w:szCs w:val="32"/>
        </w:rPr>
        <w:t>和</w:t>
      </w:r>
      <w:r>
        <w:rPr>
          <w:rFonts w:ascii="仿宋" w:hAnsi="仿宋" w:eastAsia="仿宋" w:cs="仿宋"/>
          <w:sz w:val="32"/>
          <w:szCs w:val="32"/>
        </w:rPr>
        <w:t>诉讼纠纷管理</w:t>
      </w:r>
      <w:r>
        <w:rPr>
          <w:rFonts w:hint="eastAsia" w:ascii="仿宋" w:hAnsi="仿宋" w:eastAsia="仿宋" w:cs="仿宋"/>
          <w:sz w:val="32"/>
          <w:szCs w:val="32"/>
        </w:rPr>
        <w:t>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（4）组织开展</w:t>
      </w:r>
      <w:r>
        <w:rPr>
          <w:rFonts w:ascii="仿宋" w:hAnsi="仿宋" w:eastAsia="仿宋" w:cs="仿宋"/>
          <w:sz w:val="32"/>
          <w:szCs w:val="32"/>
        </w:rPr>
        <w:t>公司法律培训及普法宣传</w:t>
      </w:r>
      <w:r>
        <w:rPr>
          <w:rFonts w:hint="eastAsia" w:ascii="仿宋" w:hAnsi="仿宋" w:eastAsia="仿宋" w:cs="仿宋"/>
          <w:sz w:val="32"/>
          <w:szCs w:val="32"/>
        </w:rPr>
        <w:t>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（5）组织开展</w:t>
      </w:r>
      <w:r>
        <w:rPr>
          <w:rFonts w:ascii="仿宋" w:hAnsi="仿宋" w:eastAsia="仿宋" w:cs="仿宋"/>
          <w:sz w:val="32"/>
          <w:szCs w:val="32"/>
        </w:rPr>
        <w:t>公司合规管理体系建设及合规综合管理</w:t>
      </w:r>
      <w:r>
        <w:rPr>
          <w:rFonts w:hint="eastAsia" w:ascii="仿宋" w:hAnsi="仿宋" w:eastAsia="仿宋" w:cs="仿宋"/>
          <w:sz w:val="32"/>
          <w:szCs w:val="32"/>
        </w:rPr>
        <w:t>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（6）组织建设</w:t>
      </w:r>
      <w:r>
        <w:rPr>
          <w:rFonts w:ascii="仿宋" w:hAnsi="仿宋" w:eastAsia="仿宋" w:cs="仿宋"/>
          <w:sz w:val="32"/>
          <w:szCs w:val="32"/>
        </w:rPr>
        <w:t>公司系统内部控制</w:t>
      </w:r>
      <w:r>
        <w:rPr>
          <w:rFonts w:hint="eastAsia" w:ascii="仿宋" w:hAnsi="仿宋" w:eastAsia="仿宋" w:cs="仿宋"/>
          <w:sz w:val="32"/>
          <w:szCs w:val="32"/>
        </w:rPr>
        <w:t>体系</w:t>
      </w:r>
      <w:r>
        <w:rPr>
          <w:rFonts w:ascii="仿宋" w:hAnsi="仿宋" w:eastAsia="仿宋" w:cs="仿宋"/>
          <w:sz w:val="32"/>
          <w:szCs w:val="32"/>
        </w:rPr>
        <w:t>及风险管理</w:t>
      </w:r>
      <w:r>
        <w:rPr>
          <w:rFonts w:hint="eastAsia" w:ascii="仿宋" w:hAnsi="仿宋" w:eastAsia="仿宋" w:cs="仿宋"/>
          <w:sz w:val="32"/>
          <w:szCs w:val="32"/>
        </w:rPr>
        <w:t>机制；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（7）组织开展</w:t>
      </w:r>
      <w:r>
        <w:rPr>
          <w:rFonts w:ascii="仿宋" w:hAnsi="仿宋" w:eastAsia="仿宋" w:cs="仿宋"/>
          <w:sz w:val="32"/>
          <w:szCs w:val="32"/>
        </w:rPr>
        <w:t>审计工作</w:t>
      </w:r>
      <w:r>
        <w:rPr>
          <w:rFonts w:hint="eastAsia" w:ascii="仿宋" w:hAnsi="仿宋" w:eastAsia="仿宋" w:cs="仿宋_GB2312"/>
          <w:sz w:val="32"/>
          <w:szCs w:val="32"/>
        </w:rPr>
        <w:t>，制定审计计划</w:t>
      </w:r>
      <w:r>
        <w:rPr>
          <w:rFonts w:hint="eastAsia" w:ascii="仿宋" w:hAnsi="仿宋" w:eastAsia="仿宋" w:cs="仿宋"/>
          <w:sz w:val="32"/>
          <w:szCs w:val="32"/>
        </w:rPr>
        <w:t>。</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3.工程管理中心</w:t>
      </w:r>
    </w:p>
    <w:p>
      <w:pPr>
        <w:spacing w:line="560" w:lineRule="exact"/>
        <w:ind w:firstLine="643" w:firstLineChars="200"/>
        <w:outlineLvl w:val="1"/>
        <w:rPr>
          <w:rFonts w:ascii="仿宋" w:hAnsi="仿宋" w:eastAsia="仿宋" w:cs="仿宋"/>
          <w:b/>
          <w:sz w:val="32"/>
          <w:szCs w:val="32"/>
        </w:rPr>
      </w:pPr>
      <w:r>
        <w:rPr>
          <w:rFonts w:hint="eastAsia" w:ascii="仿宋" w:hAnsi="仿宋" w:eastAsia="仿宋" w:cs="仿宋"/>
          <w:b/>
          <w:sz w:val="32"/>
          <w:szCs w:val="32"/>
        </w:rPr>
        <w:t>工程管理中心总经理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（1）负责工程管理中心全面管理工作；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（2）全面负责公司工程建设、设计体系的建立和完善；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（3）组织建立公司项目目标成本和动态管理机制，全面把控公司各项目限额设计管理执行情况；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（4）控制公司各建设项目工程计划的编制、更新、追踪、预警和问题事项的协调解决；</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（5）组织建立健全安全生产管理规章制度及应急预案体系，编制年度安全生产工作计划；</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（6）负责能源节约与生态环境保护管理；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（7）组织建立公司项目设计标准和建造标准，对工程项目各阶段的设计成果进行审核，负责施工过程中的质量控制，协调解决施工过程中各专业技术问题；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（8）组织建立健全公司网络安全和信息化工作的标准体系，组织制定公司信息化、网络安全发展规划及实施，建立健全信息安全突发事件应急回应机制；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（9）组织</w:t>
      </w:r>
      <w:r>
        <w:rPr>
          <w:rFonts w:hint="eastAsia" w:ascii="仿宋" w:hAnsi="仿宋" w:eastAsia="仿宋" w:cs="仿宋_GB2312"/>
          <w:sz w:val="32"/>
          <w:szCs w:val="32"/>
        </w:rPr>
        <w:t>制定采购战略和集中采购相关标准与流程，搭建采购业务规范和体系。</w:t>
      </w:r>
    </w:p>
    <w:p>
      <w:pPr>
        <w:spacing w:line="560" w:lineRule="exact"/>
        <w:ind w:firstLine="643" w:firstLineChars="200"/>
        <w:outlineLvl w:val="1"/>
        <w:rPr>
          <w:rFonts w:ascii="仿宋" w:hAnsi="仿宋" w:eastAsia="仿宋" w:cs="黑体"/>
          <w:b/>
          <w:sz w:val="32"/>
          <w:szCs w:val="32"/>
        </w:rPr>
      </w:pPr>
      <w:r>
        <w:rPr>
          <w:rFonts w:hint="eastAsia" w:ascii="仿宋" w:hAnsi="仿宋" w:eastAsia="仿宋" w:cs="仿宋"/>
          <w:b/>
          <w:sz w:val="32"/>
          <w:szCs w:val="32"/>
        </w:rPr>
        <w:t>工程管理中心副总经理</w:t>
      </w:r>
    </w:p>
    <w:p>
      <w:pPr>
        <w:spacing w:line="560" w:lineRule="exact"/>
        <w:ind w:firstLine="640" w:firstLineChars="200"/>
        <w:outlineLvl w:val="1"/>
        <w:rPr>
          <w:rFonts w:hint="eastAsia" w:ascii="仿宋" w:hAnsi="仿宋" w:eastAsia="仿宋" w:cs="仿宋"/>
          <w:sz w:val="32"/>
          <w:szCs w:val="32"/>
          <w:lang w:eastAsia="zh-CN"/>
        </w:rPr>
      </w:pPr>
      <w:r>
        <w:rPr>
          <w:rFonts w:hint="eastAsia" w:ascii="仿宋" w:hAnsi="仿宋" w:eastAsia="仿宋" w:cs="仿宋"/>
          <w:sz w:val="32"/>
          <w:szCs w:val="32"/>
        </w:rPr>
        <w:t>（1）协助工程管理中心总经理完成各项工作任务，并指导、监督、检查所属企业开展相关工作</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（2）贯彻落实国家安全生产方针、安全生产法规，协助中心总经理组织建立健全安全生产管理规章制度、流程、标准、安全事故调查处理规范标准，建立应急预案体系；</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（3）组织编制年度安全生产工作计划；</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（4）监督所属企业质量、安全管理履职情况，组织对所属企业进行安全性评价，开展安全巡查、抽查、专项检查等工作，监控相关风险，协调开展安全生产事故调查及事故处理；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color w:val="000000"/>
          <w:kern w:val="0"/>
          <w:sz w:val="32"/>
          <w:szCs w:val="32"/>
        </w:rPr>
        <w:t>组织开展安全生产月、安全会议、</w:t>
      </w:r>
      <w:r>
        <w:rPr>
          <w:rFonts w:ascii="仿宋" w:hAnsi="仿宋" w:eastAsia="仿宋" w:cs="仿宋_GB2312"/>
          <w:color w:val="000000"/>
          <w:kern w:val="0"/>
          <w:sz w:val="32"/>
          <w:szCs w:val="32"/>
        </w:rPr>
        <w:t>生产安全培训</w:t>
      </w:r>
      <w:r>
        <w:rPr>
          <w:rFonts w:hint="eastAsia" w:ascii="仿宋" w:hAnsi="仿宋" w:eastAsia="仿宋" w:cs="仿宋_GB2312"/>
          <w:sz w:val="32"/>
          <w:szCs w:val="32"/>
        </w:rPr>
        <w:t>等安全管理工作；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（6）组织开展公司环境保护和能源节约工作，监督所属企业做好建设项目环境影响评价和审查工作；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（7）协助中心总经理组织建立健全公司网络安全和信息化工作的标准体系，组织制定公司信息化、网络安全发展规划；</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（8）协助中心总经理组织建立健全信息安全突发事件应急响应机制，指导所属企业监控系统安全防护和网络安全工作。</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4.资产经营管理中心</w:t>
      </w:r>
    </w:p>
    <w:p>
      <w:pPr>
        <w:spacing w:line="560" w:lineRule="exact"/>
        <w:ind w:left="630"/>
        <w:outlineLvl w:val="0"/>
        <w:rPr>
          <w:rFonts w:ascii="仿宋" w:hAnsi="仿宋" w:eastAsia="仿宋" w:cs="仿宋"/>
          <w:b/>
          <w:bCs/>
          <w:sz w:val="32"/>
          <w:szCs w:val="32"/>
        </w:rPr>
      </w:pPr>
      <w:r>
        <w:rPr>
          <w:rFonts w:hint="eastAsia" w:ascii="仿宋" w:hAnsi="仿宋" w:eastAsia="仿宋" w:cs="仿宋"/>
          <w:b/>
          <w:bCs/>
          <w:sz w:val="32"/>
          <w:szCs w:val="32"/>
        </w:rPr>
        <w:t>资产经营管理中心总经理</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（1）负责资产经营管理中心全面管理工作；</w:t>
      </w:r>
    </w:p>
    <w:p>
      <w:pPr>
        <w:pStyle w:val="9"/>
        <w:widowControl/>
        <w:spacing w:line="560" w:lineRule="exact"/>
        <w:ind w:firstLine="640" w:firstLineChars="200"/>
        <w:rPr>
          <w:rFonts w:ascii="仿宋" w:hAnsi="仿宋" w:eastAsia="仿宋" w:cs="仿宋_GB2312"/>
          <w:sz w:val="32"/>
          <w:szCs w:val="32"/>
        </w:rPr>
      </w:pPr>
      <w:r>
        <w:rPr>
          <w:rFonts w:hint="eastAsia" w:ascii="仿宋" w:hAnsi="仿宋" w:eastAsia="仿宋" w:cs="仿宋"/>
          <w:sz w:val="32"/>
          <w:szCs w:val="32"/>
        </w:rPr>
        <w:t>（2）</w:t>
      </w:r>
      <w:r>
        <w:rPr>
          <w:rFonts w:hint="eastAsia" w:ascii="仿宋" w:hAnsi="仿宋" w:eastAsia="仿宋" w:cs="仿宋_GB2312"/>
          <w:sz w:val="32"/>
          <w:szCs w:val="32"/>
        </w:rPr>
        <w:t>组织开展公司资产（实体企业）接收工作、接收资产（实体企业）划转工作和改革资产（实体企业）接收过程中的维护稳定工作；</w:t>
      </w:r>
    </w:p>
    <w:p>
      <w:pPr>
        <w:pStyle w:val="9"/>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（3）根据接收资产禀赋，组织制定资产分类发展方案；</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（4）组织开展企业资产评估工作；</w:t>
      </w:r>
    </w:p>
    <w:p>
      <w:pPr>
        <w:pStyle w:val="9"/>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
          <w:sz w:val="32"/>
          <w:szCs w:val="32"/>
        </w:rPr>
        <w:t>组织开展</w:t>
      </w:r>
      <w:r>
        <w:rPr>
          <w:rFonts w:hint="eastAsia" w:ascii="仿宋" w:hAnsi="仿宋" w:eastAsia="仿宋" w:cs="仿宋_GB2312"/>
          <w:sz w:val="32"/>
          <w:szCs w:val="32"/>
        </w:rPr>
        <w:t>公司项目投资管理工作；</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_GB2312"/>
          <w:sz w:val="32"/>
          <w:szCs w:val="32"/>
        </w:rPr>
        <w:t>组织公司资产金融相关业务；</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（7）组织制定资产管理规章制度、年度经营业绩指标、绩效考核指标，编制资产运营计划、公司年度经营计划；</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（8）组织公司总部及所属企业产（股）权</w:t>
      </w:r>
      <w:r>
        <w:rPr>
          <w:rFonts w:hint="eastAsia" w:ascii="仿宋" w:hAnsi="仿宋" w:eastAsia="仿宋" w:cs="仿宋_GB2312"/>
          <w:kern w:val="0"/>
          <w:sz w:val="32"/>
          <w:szCs w:val="32"/>
        </w:rPr>
        <w:t>收购、转让、增资扩股工作</w:t>
      </w:r>
      <w:r>
        <w:rPr>
          <w:rFonts w:hint="eastAsia" w:ascii="仿宋" w:hAnsi="仿宋" w:eastAsia="仿宋" w:cs="仿宋"/>
          <w:sz w:val="32"/>
          <w:szCs w:val="32"/>
        </w:rPr>
        <w:t>，对参股投资企业进行股权管理</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（9）部门及个人绩效采取正向激励，与经营业绩挂钩。</w:t>
      </w:r>
    </w:p>
    <w:p>
      <w:pPr>
        <w:spacing w:line="560" w:lineRule="exact"/>
        <w:ind w:firstLine="643" w:firstLineChars="200"/>
        <w:outlineLvl w:val="1"/>
        <w:rPr>
          <w:rFonts w:ascii="仿宋" w:hAnsi="仿宋" w:eastAsia="仿宋" w:cs="仿宋"/>
          <w:b/>
          <w:bCs/>
          <w:sz w:val="32"/>
          <w:szCs w:val="32"/>
        </w:rPr>
      </w:pPr>
      <w:r>
        <w:rPr>
          <w:rFonts w:hint="eastAsia" w:ascii="仿宋" w:hAnsi="仿宋" w:eastAsia="仿宋" w:cs="仿宋"/>
          <w:b/>
          <w:bCs/>
          <w:sz w:val="32"/>
          <w:szCs w:val="32"/>
        </w:rPr>
        <w:t>资产经营管理中心副总经理</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（1）协助中心总经理拟订公司资产（实体企业）接收工作方案，组织接收资产（实体企业）项目调研，组织划转对接工作，做好改革资产（实体企业）接收过程中人员安置及维护稳定工作；</w:t>
      </w:r>
    </w:p>
    <w:p>
      <w:pPr>
        <w:pStyle w:val="9"/>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
          <w:sz w:val="32"/>
          <w:szCs w:val="32"/>
        </w:rPr>
        <w:t>协助中心总经理，</w:t>
      </w:r>
      <w:r>
        <w:rPr>
          <w:rFonts w:hint="eastAsia" w:ascii="仿宋" w:hAnsi="仿宋" w:eastAsia="仿宋" w:cs="仿宋_GB2312"/>
          <w:sz w:val="32"/>
          <w:szCs w:val="32"/>
        </w:rPr>
        <w:t>制定资产分类发展方案，并组织实施；</w:t>
      </w:r>
    </w:p>
    <w:p>
      <w:pPr>
        <w:pStyle w:val="9"/>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
          <w:sz w:val="32"/>
          <w:szCs w:val="32"/>
        </w:rPr>
        <w:t>协助中心总经理，</w:t>
      </w:r>
      <w:r>
        <w:rPr>
          <w:rFonts w:hint="eastAsia" w:ascii="仿宋" w:hAnsi="仿宋" w:eastAsia="仿宋" w:cs="仿宋_GB2312"/>
          <w:sz w:val="32"/>
          <w:szCs w:val="32"/>
        </w:rPr>
        <w:t>拟定资产管理规章制度、年度经营业绩指标、年度经营计划，汇总审核所属企业提交的年度计划；</w:t>
      </w:r>
    </w:p>
    <w:p>
      <w:pPr>
        <w:widowControl/>
        <w:spacing w:line="560" w:lineRule="exact"/>
        <w:ind w:firstLine="640" w:firstLineChars="200"/>
        <w:jc w:val="left"/>
        <w:rPr>
          <w:rFonts w:ascii="仿宋" w:hAnsi="仿宋" w:eastAsia="仿宋"/>
          <w:sz w:val="32"/>
          <w:szCs w:val="32"/>
        </w:rPr>
      </w:pPr>
      <w:r>
        <w:rPr>
          <w:rFonts w:hint="eastAsia" w:ascii="仿宋" w:hAnsi="仿宋" w:eastAsia="仿宋" w:cs="仿宋_GB2312"/>
          <w:color w:val="000000"/>
          <w:kern w:val="0"/>
          <w:sz w:val="32"/>
          <w:szCs w:val="32"/>
        </w:rPr>
        <w:t>（4）</w:t>
      </w:r>
      <w:r>
        <w:rPr>
          <w:rFonts w:ascii="仿宋" w:hAnsi="仿宋" w:eastAsia="仿宋" w:cs="仿宋_GB2312"/>
          <w:color w:val="000000"/>
          <w:kern w:val="0"/>
          <w:sz w:val="32"/>
          <w:szCs w:val="32"/>
        </w:rPr>
        <w:t>负责公司运营监控、成本管控、经营指标统计和经济活动分析</w:t>
      </w:r>
      <w:r>
        <w:rPr>
          <w:rFonts w:hint="eastAsia" w:ascii="仿宋" w:hAnsi="仿宋" w:eastAsia="仿宋" w:cs="仿宋_GB2312"/>
          <w:color w:val="000000"/>
          <w:kern w:val="0"/>
          <w:sz w:val="32"/>
          <w:szCs w:val="32"/>
        </w:rPr>
        <w:t>；</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（5）管理公司实体产业项目投资决策，</w:t>
      </w:r>
      <w:r>
        <w:rPr>
          <w:rFonts w:hint="eastAsia" w:ascii="仿宋" w:hAnsi="仿宋" w:eastAsia="仿宋" w:cs="仿宋"/>
          <w:sz w:val="32"/>
          <w:szCs w:val="32"/>
        </w:rPr>
        <w:t>协助中心总经理，</w:t>
      </w:r>
      <w:r>
        <w:rPr>
          <w:rFonts w:hint="eastAsia" w:ascii="仿宋" w:hAnsi="仿宋" w:eastAsia="仿宋" w:cs="仿宋_GB2312"/>
          <w:sz w:val="32"/>
          <w:szCs w:val="32"/>
        </w:rPr>
        <w:t>拟定中长期投资规划和年度投资计划，对审批权限内的实体产业投资项目按授权规定进行审批，对公司投资项目后评价进行管理，对所属企业违规经营投资责任追究；</w:t>
      </w:r>
    </w:p>
    <w:p>
      <w:pPr>
        <w:pStyle w:val="9"/>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（6）组织办理企业资产评估，资产评估的处置、资产重组方案合规性审核；</w:t>
      </w:r>
    </w:p>
    <w:p>
      <w:pPr>
        <w:pStyle w:val="9"/>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（7）负责公司产业基金、资产证券化、资本市场筹融资工作和投资资产的进入与退出工作；</w:t>
      </w:r>
    </w:p>
    <w:p>
      <w:pPr>
        <w:pStyle w:val="9"/>
        <w:widowControl/>
        <w:spacing w:line="560" w:lineRule="exact"/>
        <w:ind w:firstLine="640" w:firstLineChars="200"/>
        <w:rPr>
          <w:rFonts w:ascii="仿宋" w:hAnsi="仿宋" w:eastAsia="仿宋" w:cs="仿宋"/>
          <w:sz w:val="32"/>
          <w:szCs w:val="32"/>
        </w:rPr>
      </w:pPr>
      <w:r>
        <w:rPr>
          <w:rFonts w:hint="eastAsia" w:ascii="仿宋" w:hAnsi="仿宋" w:eastAsia="仿宋" w:cs="仿宋_GB2312"/>
          <w:sz w:val="32"/>
          <w:szCs w:val="32"/>
        </w:rPr>
        <w:t>（8）</w:t>
      </w:r>
      <w:r>
        <w:rPr>
          <w:rFonts w:hint="eastAsia" w:ascii="仿宋" w:hAnsi="仿宋" w:eastAsia="仿宋" w:cs="仿宋"/>
          <w:sz w:val="32"/>
          <w:szCs w:val="32"/>
        </w:rPr>
        <w:t>拟订公司产权管理规章制度和业务流程，指导、审核公司及接收机构托管、重组、改制、破产以及主辅分离等方案；</w:t>
      </w:r>
    </w:p>
    <w:p>
      <w:pPr>
        <w:pStyle w:val="9"/>
        <w:widowControl/>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_GB2312"/>
          <w:sz w:val="32"/>
          <w:szCs w:val="32"/>
        </w:rPr>
        <w:t>（9）</w:t>
      </w:r>
      <w:r>
        <w:rPr>
          <w:rFonts w:hint="eastAsia" w:ascii="仿宋" w:hAnsi="仿宋" w:eastAsia="仿宋" w:cs="仿宋"/>
          <w:sz w:val="32"/>
          <w:szCs w:val="32"/>
        </w:rPr>
        <w:t>协助中心总经理</w:t>
      </w:r>
      <w:r>
        <w:rPr>
          <w:rFonts w:hint="eastAsia" w:ascii="仿宋" w:hAnsi="仿宋" w:eastAsia="仿宋" w:cs="仿宋_GB2312"/>
          <w:sz w:val="32"/>
          <w:szCs w:val="32"/>
        </w:rPr>
        <w:t>制定并完善公司战略发展规划，评估战略规划执行情况</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（10）部门及个人绩效采取正向激励，与经营业绩挂钩。</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5.健康产业发展中心</w:t>
      </w:r>
    </w:p>
    <w:p>
      <w:pPr>
        <w:spacing w:line="560" w:lineRule="exact"/>
        <w:ind w:firstLine="643" w:firstLineChars="200"/>
        <w:outlineLvl w:val="1"/>
        <w:rPr>
          <w:rFonts w:ascii="仿宋" w:hAnsi="仿宋" w:eastAsia="仿宋" w:cs="仿宋"/>
          <w:b/>
          <w:bCs/>
          <w:sz w:val="32"/>
          <w:szCs w:val="32"/>
        </w:rPr>
      </w:pPr>
      <w:r>
        <w:rPr>
          <w:rFonts w:hint="eastAsia" w:ascii="仿宋" w:hAnsi="仿宋" w:eastAsia="仿宋" w:cs="仿宋"/>
          <w:b/>
          <w:bCs/>
          <w:sz w:val="32"/>
          <w:szCs w:val="32"/>
        </w:rPr>
        <w:t>健康产业发展中心总经理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（1）负责健康产业发展中心全面管理工作；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（2）组织制定康养产业发展规划、业务方案及产业研究相关工作；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（3）根据公司确定的投资方向，牵头负责康养具体业务投资发展及资源整合相关工作；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（4）组织制定居家养老、社区养老、机构养老、智慧养老、医养结合等业务方向发展规划及项目运营方案；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（5）组织开展康养产业体系标准化、数字化建设相关工作；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（6）组织推进养老项目、健康医疗项目、酒店项目、会议培训项目的专业化、市场化运营管理，牵头与相关产业运营服务机构、战略投资者等合作方的对接工作；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（7）依托资产优势，推动顶层设计和政策完善，组织开展行业分析，负责养老产业、健康医疗产业、酒店产业、会议培训产业的市场研究、客户研究、案例总结和产品研发；</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（8）组织开展相关产业的营销管理等工作</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（9）部门及个人绩效采取正向激励，与经营业绩挂钩。</w:t>
      </w:r>
    </w:p>
    <w:p>
      <w:pPr>
        <w:spacing w:line="560" w:lineRule="exact"/>
        <w:ind w:firstLine="643" w:firstLineChars="200"/>
        <w:outlineLvl w:val="1"/>
        <w:rPr>
          <w:rFonts w:ascii="仿宋" w:hAnsi="仿宋" w:eastAsia="仿宋" w:cs="仿宋"/>
          <w:b/>
          <w:bCs/>
          <w:sz w:val="32"/>
          <w:szCs w:val="32"/>
        </w:rPr>
      </w:pPr>
      <w:r>
        <w:rPr>
          <w:rFonts w:hint="eastAsia" w:ascii="仿宋" w:hAnsi="仿宋" w:eastAsia="仿宋" w:cs="仿宋"/>
          <w:b/>
          <w:bCs/>
          <w:sz w:val="32"/>
          <w:szCs w:val="32"/>
        </w:rPr>
        <w:t>健康产业发展中心副总经理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（1）协助中心总经理拟定康养产业发展规划、业务方案及产业研究相关工作；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（2）协助中心总经理开展康养具体业务投资发展及资源整合相关工作，建立健康产业投资管理体系，组织制定项目投资方案，对投资项目进行审核、过程跟踪及投后管理；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（3）协助中心总经理组织开展康养产业的市场研究、目标客户研究、案例研究和产品研发等工作；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（4）协助中心总经理推进康养项目的专业化、市场化运营管理，筛选整合国内外一流的行业服务资源，指导做好与相关产业运营服务机构、战略投资者等合作方的对接工作；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（5）协助中心总经理制定居家养老、社区养老、机构养老、智慧养老、医养结合等业务的项目运营方案；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（6）组织制定运营相关的管理标准、制度体系、考核方案、机构评审方案等，检查督促各相关所属企业完成经营计划；</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（7）协助中心总经理开展康养产业体系标准化、数字化建设相关工作，提升运营质量</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（8）部门及个人绩效采取正向激励，与经营业绩挂钩。</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6.党委办公室（公司办公室）</w:t>
      </w:r>
    </w:p>
    <w:p>
      <w:pPr>
        <w:pStyle w:val="19"/>
        <w:spacing w:line="560" w:lineRule="exact"/>
        <w:ind w:firstLine="643"/>
        <w:outlineLvl w:val="0"/>
        <w:rPr>
          <w:rFonts w:ascii="仿宋" w:hAnsi="仿宋" w:eastAsia="仿宋" w:cs="仿宋"/>
          <w:b/>
          <w:sz w:val="32"/>
          <w:szCs w:val="32"/>
        </w:rPr>
      </w:pPr>
      <w:r>
        <w:rPr>
          <w:rFonts w:hint="eastAsia" w:ascii="仿宋" w:hAnsi="仿宋" w:eastAsia="仿宋" w:cs="仿宋"/>
          <w:b/>
          <w:sz w:val="32"/>
          <w:szCs w:val="32"/>
        </w:rPr>
        <w:t>党委办公室（公司办公室）副主任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（1）组织落实公司党委重要会议和大型活动筹备工作，起草公司党委年度计划、总结、重要报告、领导讲话和有关会议文件；</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（2）组织落实上级党组织和公司党委全面从严治党、党风廉政建设主体责任各项工作部署和要求；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（3）组织开展公司党的思想政治建设工作，指导基层党组织加强领导班子理论武装工作；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（4）组织开展公司</w:t>
      </w:r>
      <w:r>
        <w:rPr>
          <w:rFonts w:hint="eastAsia" w:ascii="仿宋" w:hAnsi="仿宋" w:eastAsia="仿宋" w:cs="仿宋_GB2312"/>
          <w:sz w:val="32"/>
          <w:szCs w:val="32"/>
        </w:rPr>
        <w:t>所属企业党务领导干部从严治党考核评价工作</w:t>
      </w:r>
      <w:r>
        <w:rPr>
          <w:rFonts w:hint="eastAsia" w:ascii="仿宋" w:hAnsi="仿宋" w:eastAsia="仿宋" w:cs="仿宋"/>
          <w:sz w:val="32"/>
          <w:szCs w:val="32"/>
        </w:rPr>
        <w:t>；</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（5）组织开展公司的</w:t>
      </w:r>
      <w:r>
        <w:rPr>
          <w:rFonts w:hint="eastAsia" w:ascii="仿宋" w:hAnsi="仿宋" w:eastAsia="仿宋" w:cs="仿宋"/>
          <w:color w:val="000000"/>
          <w:kern w:val="0"/>
          <w:sz w:val="32"/>
          <w:szCs w:val="32"/>
        </w:rPr>
        <w:t>意识形态、宣传报导、精神文明和企业文化建设</w:t>
      </w:r>
      <w:r>
        <w:rPr>
          <w:rFonts w:hint="eastAsia" w:ascii="仿宋" w:hAnsi="仿宋" w:eastAsia="仿宋" w:cs="仿宋"/>
          <w:sz w:val="32"/>
          <w:szCs w:val="32"/>
        </w:rPr>
        <w:t>工作；</w:t>
      </w:r>
    </w:p>
    <w:p>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（6）组织落实公司信访维稳、接诉即办、职工思想动态摸排、社会矛盾纠纷排查和</w:t>
      </w:r>
      <w:r>
        <w:rPr>
          <w:rFonts w:hint="eastAsia" w:ascii="仿宋" w:hAnsi="仿宋" w:eastAsia="仿宋" w:cs="仿宋_GB2312"/>
          <w:sz w:val="32"/>
          <w:szCs w:val="32"/>
        </w:rPr>
        <w:t>精准扶贫</w:t>
      </w:r>
      <w:r>
        <w:rPr>
          <w:rFonts w:hint="eastAsia" w:ascii="仿宋" w:hAnsi="仿宋" w:eastAsia="仿宋" w:cs="仿宋"/>
          <w:sz w:val="32"/>
          <w:szCs w:val="32"/>
        </w:rPr>
        <w:t>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（7）指导公司工会组织和团组织建设工作；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（8）组织开展公司党内、群团系统的评优推优，选树先进典型；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（9）组织开展年度党建专项检查和各项党内学习教育活动。</w:t>
      </w:r>
    </w:p>
    <w:p>
      <w:pPr>
        <w:spacing w:line="600" w:lineRule="exact"/>
        <w:ind w:firstLine="640" w:firstLineChars="200"/>
        <w:rPr>
          <w:rFonts w:ascii="楷体" w:hAnsi="楷体" w:eastAsia="楷体" w:cs="黑体"/>
          <w:bCs/>
          <w:sz w:val="32"/>
          <w:szCs w:val="32"/>
        </w:rPr>
      </w:pPr>
      <w:r>
        <w:rPr>
          <w:rFonts w:hint="eastAsia" w:ascii="楷体" w:hAnsi="楷体" w:eastAsia="楷体" w:cs="黑体"/>
          <w:bCs/>
          <w:sz w:val="32"/>
          <w:szCs w:val="32"/>
        </w:rPr>
        <w:t>（二）北京康养一般管理人员</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1.党委办公室（公司办公室）</w:t>
      </w:r>
    </w:p>
    <w:p>
      <w:pPr>
        <w:pStyle w:val="19"/>
        <w:spacing w:line="560" w:lineRule="exact"/>
        <w:ind w:firstLine="643"/>
        <w:rPr>
          <w:rFonts w:ascii="仿宋" w:hAnsi="仿宋" w:eastAsia="仿宋" w:cs="仿宋"/>
          <w:b/>
          <w:sz w:val="32"/>
          <w:szCs w:val="32"/>
        </w:rPr>
      </w:pPr>
      <w:r>
        <w:rPr>
          <w:rFonts w:hint="eastAsia" w:ascii="仿宋" w:hAnsi="仿宋" w:eastAsia="仿宋" w:cs="仿宋"/>
          <w:b/>
          <w:sz w:val="32"/>
          <w:szCs w:val="32"/>
        </w:rPr>
        <w:t>党务事务管理岗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_GB2312"/>
          <w:sz w:val="32"/>
          <w:szCs w:val="32"/>
        </w:rPr>
        <w:t>在部门领导的指导下，落实上级党组织和公司党委全面从严治党、党风廉政建设主体责任各项具体工作；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（2）在部门领导的指导下，开展党的思想政治建设工作，组织公司党委理论中心组学习，指导基层党组织加强领导班子理论武装工作；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（3）在部门领导的指导下，开展党员教育管理工作；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（4）负责党统信息系统的维护和更新工作，做好线上平台管理和党内统计年报；</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（5）在部门领导的指导下，开展公司的</w:t>
      </w:r>
      <w:r>
        <w:rPr>
          <w:rFonts w:ascii="仿宋" w:hAnsi="仿宋" w:eastAsia="仿宋" w:cs="仿宋_GB2312"/>
          <w:color w:val="000000"/>
          <w:kern w:val="0"/>
          <w:sz w:val="32"/>
          <w:szCs w:val="32"/>
        </w:rPr>
        <w:t>意识形态、宣传</w:t>
      </w:r>
      <w:r>
        <w:rPr>
          <w:rFonts w:hint="eastAsia" w:ascii="仿宋" w:hAnsi="仿宋" w:eastAsia="仿宋" w:cs="仿宋_GB2312"/>
          <w:color w:val="000000"/>
          <w:kern w:val="0"/>
          <w:sz w:val="32"/>
          <w:szCs w:val="32"/>
        </w:rPr>
        <w:t>报道</w:t>
      </w:r>
      <w:r>
        <w:rPr>
          <w:rFonts w:ascii="仿宋" w:hAnsi="仿宋" w:eastAsia="仿宋" w:cs="仿宋_GB2312"/>
          <w:color w:val="000000"/>
          <w:kern w:val="0"/>
          <w:sz w:val="32"/>
          <w:szCs w:val="32"/>
        </w:rPr>
        <w:t>、精神文明和企业文化建设</w:t>
      </w:r>
      <w:r>
        <w:rPr>
          <w:rFonts w:hint="eastAsia" w:ascii="仿宋" w:hAnsi="仿宋" w:eastAsia="仿宋" w:cs="仿宋_GB2312"/>
          <w:sz w:val="32"/>
          <w:szCs w:val="32"/>
        </w:rPr>
        <w:t>工作，拟定、修订公司意识形态相关制度，完善工作体系；</w:t>
      </w:r>
    </w:p>
    <w:p>
      <w:pPr>
        <w:widowControl/>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（6）落实公司信访维稳、接诉即办、职工思想动态摸排、社会矛盾纠纷排查、精准扶贫等工作；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（7）在部门领导的指导下，开展公司工会组织和团组织建设及日常管理工作；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（8）开展公司党内、群团系统的评优推优工作，组织各类先进典型的选树及对其先进事迹的总结和推广等工作；</w:t>
      </w:r>
    </w:p>
    <w:p>
      <w:pPr>
        <w:pStyle w:val="19"/>
        <w:spacing w:line="560" w:lineRule="exact"/>
        <w:ind w:firstLine="640"/>
        <w:rPr>
          <w:rFonts w:ascii="仿宋" w:hAnsi="仿宋" w:eastAsia="仿宋" w:cs="仿宋"/>
          <w:sz w:val="32"/>
          <w:szCs w:val="32"/>
        </w:rPr>
      </w:pPr>
      <w:r>
        <w:rPr>
          <w:rFonts w:hint="eastAsia" w:ascii="仿宋" w:hAnsi="仿宋" w:eastAsia="仿宋" w:cs="仿宋"/>
          <w:sz w:val="32"/>
          <w:szCs w:val="32"/>
        </w:rPr>
        <w:t>（9）开展落实年度党建专项检查和各项党内学习教育活动。</w:t>
      </w:r>
    </w:p>
    <w:p>
      <w:pPr>
        <w:pStyle w:val="19"/>
        <w:spacing w:line="560" w:lineRule="exact"/>
        <w:ind w:firstLine="643"/>
        <w:rPr>
          <w:rFonts w:ascii="仿宋" w:hAnsi="仿宋" w:eastAsia="仿宋" w:cs="仿宋"/>
          <w:b/>
          <w:sz w:val="32"/>
          <w:szCs w:val="32"/>
        </w:rPr>
      </w:pPr>
      <w:r>
        <w:rPr>
          <w:rFonts w:hint="eastAsia" w:ascii="仿宋" w:hAnsi="仿宋" w:eastAsia="仿宋" w:cs="仿宋"/>
          <w:b/>
          <w:sz w:val="32"/>
          <w:szCs w:val="32"/>
        </w:rPr>
        <w:t>行政事务管理岗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（1）具体负责董事会、监事会日常事务管理工作，</w:t>
      </w:r>
      <w:r>
        <w:rPr>
          <w:rFonts w:hint="eastAsia" w:ascii="仿宋" w:hAnsi="仿宋" w:eastAsia="仿宋"/>
          <w:sz w:val="32"/>
          <w:szCs w:val="32"/>
        </w:rPr>
        <w:t>总经理办公会、年度工作会等重要会议的组织、服务及相关工作督办；</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（2）负责</w:t>
      </w:r>
      <w:r>
        <w:rPr>
          <w:rFonts w:hint="eastAsia" w:ascii="仿宋" w:hAnsi="仿宋" w:eastAsia="仿宋"/>
          <w:sz w:val="32"/>
          <w:szCs w:val="32"/>
        </w:rPr>
        <w:t>公司公文、文件（含机要文件）的起草、审核、收发、登记、流转及事务推进和督办；</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（3）具体负责公司公章、印信和资质证照管理工作，</w:t>
      </w:r>
      <w:r>
        <w:rPr>
          <w:rFonts w:hint="eastAsia" w:ascii="仿宋" w:hAnsi="仿宋" w:eastAsia="仿宋"/>
          <w:sz w:val="32"/>
          <w:szCs w:val="32"/>
        </w:rPr>
        <w:t>管理公司档案的归档、保管及查阅利用，监督与检查下属企业档案管理工作；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（4）落实公司办公类设备设施的采购与固定资产管理工作；</w:t>
      </w:r>
    </w:p>
    <w:p>
      <w:pPr>
        <w:spacing w:line="560" w:lineRule="exact"/>
        <w:ind w:firstLine="640" w:firstLineChars="200"/>
        <w:rPr>
          <w:rFonts w:ascii="仿宋" w:hAnsi="仿宋" w:eastAsia="仿宋"/>
          <w:sz w:val="32"/>
          <w:szCs w:val="32"/>
        </w:rPr>
      </w:pPr>
      <w:r>
        <w:rPr>
          <w:rFonts w:hint="eastAsia" w:ascii="仿宋" w:hAnsi="仿宋" w:eastAsia="仿宋" w:cs="仿宋"/>
          <w:sz w:val="32"/>
          <w:szCs w:val="32"/>
        </w:rPr>
        <w:t>（5）开展</w:t>
      </w:r>
      <w:r>
        <w:rPr>
          <w:rFonts w:hint="eastAsia" w:ascii="仿宋" w:hAnsi="仿宋" w:eastAsia="仿宋"/>
          <w:sz w:val="32"/>
          <w:szCs w:val="32"/>
        </w:rPr>
        <w:t>公司公务车辆、差旅、业务招待、办公用品等管理工作，监督与检查公司所属企业公务用车、差旅、业务招待等方面工作；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（6）具体落实公司办公场所的日常运行管理，在主任和副主任的指导下，统筹公司及所属企业办公及公寓资源的配置和协调；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（7）落实开展公司履行社会责任、公共关系、形象策划、品牌管理、对外联络、对外信息披露等工作。</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2.党委组织部（人力资源部）</w:t>
      </w:r>
    </w:p>
    <w:p>
      <w:pPr>
        <w:pStyle w:val="19"/>
        <w:spacing w:line="560" w:lineRule="exact"/>
        <w:ind w:firstLine="643"/>
        <w:rPr>
          <w:rFonts w:ascii="仿宋" w:hAnsi="仿宋" w:eastAsia="仿宋" w:cs="仿宋"/>
          <w:b/>
          <w:sz w:val="32"/>
          <w:szCs w:val="32"/>
        </w:rPr>
      </w:pPr>
      <w:r>
        <w:rPr>
          <w:rFonts w:hint="eastAsia" w:ascii="仿宋" w:hAnsi="仿宋" w:eastAsia="仿宋" w:cs="仿宋"/>
          <w:b/>
          <w:sz w:val="32"/>
          <w:szCs w:val="32"/>
        </w:rPr>
        <w:t>党建管理岗</w:t>
      </w:r>
    </w:p>
    <w:p>
      <w:pPr>
        <w:pStyle w:val="19"/>
        <w:spacing w:line="560" w:lineRule="exact"/>
        <w:ind w:firstLine="640"/>
        <w:rPr>
          <w:rFonts w:ascii="仿宋" w:hAnsi="仿宋" w:eastAsia="仿宋" w:cs="仿宋_GB2312"/>
          <w:sz w:val="32"/>
          <w:szCs w:val="32"/>
        </w:rPr>
      </w:pPr>
      <w:r>
        <w:rPr>
          <w:rFonts w:hint="eastAsia" w:ascii="仿宋" w:hAnsi="仿宋" w:eastAsia="仿宋" w:cs="仿宋"/>
          <w:bCs/>
          <w:sz w:val="32"/>
          <w:szCs w:val="32"/>
        </w:rPr>
        <w:t>（1）</w:t>
      </w:r>
      <w:r>
        <w:rPr>
          <w:rFonts w:hint="eastAsia" w:ascii="仿宋" w:hAnsi="仿宋" w:eastAsia="仿宋" w:cs="仿宋_GB2312"/>
          <w:sz w:val="32"/>
          <w:szCs w:val="32"/>
        </w:rPr>
        <w:t>按照要求完成新建企业党组织设立工作；</w:t>
      </w:r>
    </w:p>
    <w:p>
      <w:pPr>
        <w:pStyle w:val="19"/>
        <w:spacing w:line="560" w:lineRule="exact"/>
        <w:ind w:firstLine="640"/>
        <w:rPr>
          <w:rFonts w:ascii="仿宋" w:hAnsi="仿宋" w:eastAsia="仿宋"/>
          <w:sz w:val="32"/>
          <w:szCs w:val="32"/>
        </w:rPr>
      </w:pPr>
      <w:r>
        <w:rPr>
          <w:rFonts w:hint="eastAsia" w:ascii="仿宋" w:hAnsi="仿宋" w:eastAsia="仿宋" w:cs="仿宋_GB2312"/>
          <w:sz w:val="32"/>
          <w:szCs w:val="32"/>
        </w:rPr>
        <w:t>（2）按期完成公司党委任期届满换届选举相关工作，</w:t>
      </w:r>
      <w:r>
        <w:rPr>
          <w:rFonts w:hint="eastAsia" w:ascii="仿宋" w:hAnsi="仿宋" w:eastAsia="仿宋"/>
          <w:sz w:val="32"/>
          <w:szCs w:val="32"/>
        </w:rPr>
        <w:t>督促指导下属企业党组织任期届满换届选举和补选委员、选举出席上级党员代表大会代表的工作；</w:t>
      </w:r>
    </w:p>
    <w:p>
      <w:pPr>
        <w:pStyle w:val="19"/>
        <w:spacing w:line="560" w:lineRule="exact"/>
        <w:ind w:firstLine="640"/>
        <w:rPr>
          <w:rFonts w:ascii="仿宋" w:hAnsi="仿宋" w:eastAsia="仿宋" w:cs="仿宋_GB2312"/>
          <w:sz w:val="32"/>
          <w:szCs w:val="32"/>
        </w:rPr>
      </w:pPr>
      <w:r>
        <w:rPr>
          <w:rFonts w:hint="eastAsia" w:ascii="仿宋" w:hAnsi="仿宋" w:eastAsia="仿宋"/>
          <w:sz w:val="32"/>
          <w:szCs w:val="32"/>
        </w:rPr>
        <w:t>（3）</w:t>
      </w:r>
      <w:r>
        <w:rPr>
          <w:rFonts w:hint="eastAsia" w:ascii="仿宋" w:hAnsi="仿宋" w:eastAsia="仿宋" w:cs="仿宋_GB2312"/>
          <w:sz w:val="32"/>
          <w:szCs w:val="32"/>
        </w:rPr>
        <w:t>完成公司领导班子民主生活会的相关准备及组织工作，督促、指导下属企业党组织贯彻民主集中制原则，坚持和健全集体领导和党内民主生活会制度，检查下属企业领导班子民主生活会召开情况；</w:t>
      </w:r>
    </w:p>
    <w:p>
      <w:pPr>
        <w:pStyle w:val="19"/>
        <w:spacing w:line="560" w:lineRule="exact"/>
        <w:ind w:firstLine="640"/>
        <w:rPr>
          <w:rFonts w:ascii="仿宋" w:hAnsi="仿宋" w:eastAsia="仿宋"/>
          <w:sz w:val="32"/>
          <w:szCs w:val="32"/>
        </w:rPr>
      </w:pPr>
      <w:r>
        <w:rPr>
          <w:rFonts w:hint="eastAsia" w:ascii="仿宋" w:hAnsi="仿宋" w:eastAsia="仿宋"/>
          <w:sz w:val="32"/>
          <w:szCs w:val="32"/>
        </w:rPr>
        <w:t>（4）开展落实政工职评工作；</w:t>
      </w:r>
    </w:p>
    <w:p>
      <w:pPr>
        <w:pStyle w:val="19"/>
        <w:spacing w:line="560" w:lineRule="exact"/>
        <w:ind w:firstLine="640"/>
        <w:rPr>
          <w:rFonts w:ascii="仿宋" w:hAnsi="仿宋" w:eastAsia="仿宋"/>
          <w:sz w:val="32"/>
          <w:szCs w:val="32"/>
        </w:rPr>
      </w:pPr>
      <w:r>
        <w:rPr>
          <w:rFonts w:hint="eastAsia" w:ascii="仿宋" w:hAnsi="仿宋" w:eastAsia="仿宋"/>
          <w:sz w:val="32"/>
          <w:szCs w:val="32"/>
        </w:rPr>
        <w:t>（5）组织开展下级党组织书记向公司党委现场述职评议考核工作，督促、检查下属企业党组织完成现场述职评议考核工作；</w:t>
      </w:r>
    </w:p>
    <w:p>
      <w:pPr>
        <w:pStyle w:val="19"/>
        <w:spacing w:line="560" w:lineRule="exact"/>
        <w:ind w:firstLine="640"/>
        <w:rPr>
          <w:rFonts w:ascii="仿宋" w:hAnsi="仿宋" w:eastAsia="仿宋"/>
          <w:sz w:val="32"/>
          <w:szCs w:val="32"/>
        </w:rPr>
      </w:pPr>
      <w:r>
        <w:rPr>
          <w:rFonts w:hint="eastAsia" w:ascii="仿宋" w:hAnsi="仿宋" w:eastAsia="仿宋"/>
          <w:sz w:val="32"/>
          <w:szCs w:val="32"/>
        </w:rPr>
        <w:t>（6）具体落实公司总部中层及以下人员、所属企业领导班子成员的选拔、任用和日常监督管理工作。</w:t>
      </w:r>
    </w:p>
    <w:p>
      <w:pPr>
        <w:pStyle w:val="19"/>
        <w:spacing w:line="560" w:lineRule="exact"/>
        <w:ind w:firstLine="643"/>
        <w:rPr>
          <w:rFonts w:ascii="仿宋" w:hAnsi="仿宋" w:eastAsia="仿宋"/>
          <w:b/>
          <w:sz w:val="32"/>
          <w:szCs w:val="32"/>
        </w:rPr>
      </w:pPr>
      <w:r>
        <w:rPr>
          <w:rFonts w:hint="eastAsia" w:ascii="仿宋" w:hAnsi="仿宋" w:eastAsia="仿宋"/>
          <w:b/>
          <w:sz w:val="32"/>
          <w:szCs w:val="32"/>
        </w:rPr>
        <w:t>人力资源管理岗</w:t>
      </w:r>
    </w:p>
    <w:p>
      <w:pPr>
        <w:pStyle w:val="9"/>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（1）具体落实公司系统性人才队伍建设、专家队伍建设、员工职业发展规划、职称评定及培训开发等工作, 向所属企业提出人员及团队建设的要求； </w:t>
      </w:r>
    </w:p>
    <w:p>
      <w:pPr>
        <w:spacing w:line="560" w:lineRule="exact"/>
        <w:ind w:firstLine="640" w:firstLineChars="200"/>
        <w:rPr>
          <w:rFonts w:ascii="仿宋" w:hAnsi="仿宋" w:eastAsia="仿宋" w:cs="仿宋_GB2312"/>
          <w:kern w:val="0"/>
          <w:sz w:val="32"/>
          <w:szCs w:val="32"/>
        </w:rPr>
      </w:pPr>
      <w:r>
        <w:rPr>
          <w:rFonts w:hint="eastAsia" w:ascii="仿宋" w:hAnsi="仿宋" w:eastAsia="仿宋" w:cs="仿宋_GB2312"/>
          <w:sz w:val="32"/>
          <w:szCs w:val="32"/>
        </w:rPr>
        <w:t>（2）落实公司总部的组织机构设置、组织机构职责、劳动定员、人员招聘和员工调配管理工作，对下属企业组织机构设置、组织机构职责、劳动定员、用工总量及用工标进行准核定与管理</w:t>
      </w:r>
      <w:r>
        <w:rPr>
          <w:rFonts w:hint="eastAsia" w:ascii="仿宋" w:hAnsi="仿宋" w:eastAsia="仿宋" w:cs="仿宋_GB2312"/>
          <w:kern w:val="0"/>
          <w:sz w:val="32"/>
          <w:szCs w:val="32"/>
        </w:rPr>
        <w:t>；</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（3）落实公司工资总额管理工作和公司所属企业负责人薪酬与绩效考核工作，制定总部员工定薪方案，对所属企业工资总额、</w:t>
      </w:r>
      <w:r>
        <w:rPr>
          <w:rFonts w:ascii="仿宋" w:hAnsi="仿宋" w:eastAsia="仿宋" w:cs="仿宋_GB2312"/>
          <w:sz w:val="32"/>
          <w:szCs w:val="32"/>
        </w:rPr>
        <w:t>负责人薪酬标准</w:t>
      </w:r>
      <w:r>
        <w:rPr>
          <w:rFonts w:hint="eastAsia" w:ascii="仿宋" w:hAnsi="仿宋" w:eastAsia="仿宋" w:cs="仿宋_GB2312"/>
          <w:sz w:val="32"/>
          <w:szCs w:val="32"/>
        </w:rPr>
        <w:t>及发放情况进行核定审核；</w:t>
      </w:r>
    </w:p>
    <w:p>
      <w:pPr>
        <w:pStyle w:val="9"/>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（4）落实公司总部社会保险、住房公积金、企业年金、补充医疗保险的管理工作，及对下属企业相关工作的监督与指导；</w:t>
      </w:r>
    </w:p>
    <w:p>
      <w:pPr>
        <w:pStyle w:val="9"/>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（5）在部门负责人指导下落实公司人力资源信息系统建设和数据统计工作；</w:t>
      </w:r>
    </w:p>
    <w:p>
      <w:pPr>
        <w:pStyle w:val="9"/>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（6）具体落实公司总部劳动合同管理、总部及所属企业领导人员人事档案管理工作，对下属企业合同管理、人事档案管理工作进行监督与指导；落实公司离退休人员管理工作。</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3.纪检室</w:t>
      </w:r>
    </w:p>
    <w:p>
      <w:pPr>
        <w:spacing w:line="56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纪检监察岗</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（1）在纪检室主任的领导下，协助公司党委推进全面从严治党、加强党风建设和组织协调反腐败工作，开展党员进行遵守纪律的教育工作及廉洁文化建设工作；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（2）检查党的路线、方针、政策和决议的执行情况，开展纠正“四风”问题监督检查，对公司所属党组织和党员违反党的章程和其他党内法规的比较重要或复杂的案件进行检查和处理；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
          <w:sz w:val="32"/>
          <w:szCs w:val="32"/>
        </w:rPr>
        <w:t>监督公司党组织和党员领导干部履行职责、行使权力情况和</w:t>
      </w:r>
      <w:r>
        <w:rPr>
          <w:rFonts w:hint="eastAsia" w:ascii="仿宋" w:hAnsi="仿宋" w:eastAsia="仿宋" w:cs="仿宋_GB2312"/>
          <w:sz w:val="32"/>
          <w:szCs w:val="32"/>
        </w:rPr>
        <w:t>“三重一大”等重要决策制度执行情况</w:t>
      </w:r>
      <w:r>
        <w:rPr>
          <w:rFonts w:hint="eastAsia" w:ascii="仿宋" w:hAnsi="仿宋" w:eastAsia="仿宋" w:cs="仿宋"/>
          <w:sz w:val="32"/>
          <w:szCs w:val="32"/>
        </w:rPr>
        <w:t>；</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
          <w:sz w:val="32"/>
          <w:szCs w:val="32"/>
        </w:rPr>
        <w:t>组织受理同级党委管理的党组织和党员、干部以及监察对象的信访举报工作，统筹管理党组织和党员、干部以及监察对象的问题线索，</w:t>
      </w:r>
      <w:r>
        <w:rPr>
          <w:rFonts w:hint="eastAsia" w:ascii="仿宋" w:hAnsi="仿宋" w:eastAsia="仿宋" w:cs="仿宋_GB2312"/>
          <w:sz w:val="32"/>
          <w:szCs w:val="32"/>
        </w:rPr>
        <w:t>对涉嫌严重违纪或者职务违法、职务犯罪问题线索进行立案审查调查，审核把关办案程序</w:t>
      </w:r>
      <w:r>
        <w:rPr>
          <w:rFonts w:hint="eastAsia" w:ascii="仿宋" w:hAnsi="仿宋" w:eastAsia="仿宋" w:cs="仿宋"/>
          <w:sz w:val="32"/>
          <w:szCs w:val="32"/>
        </w:rPr>
        <w:t>，组织</w:t>
      </w:r>
      <w:r>
        <w:rPr>
          <w:rFonts w:ascii="仿宋" w:hAnsi="仿宋" w:eastAsia="仿宋" w:cs="仿宋"/>
          <w:sz w:val="32"/>
          <w:szCs w:val="32"/>
        </w:rPr>
        <w:t>公司违纪违法案件备案</w:t>
      </w:r>
      <w:r>
        <w:rPr>
          <w:rFonts w:hint="eastAsia" w:ascii="仿宋" w:hAnsi="仿宋" w:eastAsia="仿宋" w:cs="仿宋"/>
          <w:sz w:val="32"/>
          <w:szCs w:val="32"/>
        </w:rPr>
        <w:t>并</w:t>
      </w:r>
      <w:r>
        <w:rPr>
          <w:rFonts w:ascii="仿宋" w:hAnsi="仿宋" w:eastAsia="仿宋" w:cs="仿宋"/>
          <w:sz w:val="32"/>
          <w:szCs w:val="32"/>
        </w:rPr>
        <w:t>开展案后教育</w:t>
      </w:r>
      <w:r>
        <w:rPr>
          <w:rFonts w:hint="eastAsia" w:ascii="仿宋" w:hAnsi="仿宋" w:eastAsia="仿宋" w:cs="仿宋_GB2312"/>
          <w:sz w:val="32"/>
          <w:szCs w:val="32"/>
        </w:rPr>
        <w:t>；</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（5）在纪检室主任的领导下，协助公司党委做好所属企业纪委组建、换届等工作和纪检监察干部队伍建设工作，组织和指导公司纪检系统干部教育培训、执纪审查督办等工作；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（6）落实干部选拔任用“凡提四必”要求，做好任前廉政谈话和廉政测试等相关工作，负责公司党员干部党风廉洁征求意见核实、廉洁意见回复工作；</w:t>
      </w:r>
    </w:p>
    <w:p>
      <w:pPr>
        <w:spacing w:line="560" w:lineRule="exact"/>
        <w:ind w:firstLine="640" w:firstLineChars="200"/>
        <w:outlineLvl w:val="1"/>
        <w:rPr>
          <w:rFonts w:ascii="仿宋" w:hAnsi="仿宋" w:eastAsia="仿宋" w:cs="仿宋_GB2312"/>
          <w:sz w:val="32"/>
          <w:szCs w:val="32"/>
        </w:rPr>
      </w:pPr>
      <w:r>
        <w:rPr>
          <w:rFonts w:hint="eastAsia" w:ascii="仿宋" w:hAnsi="仿宋" w:eastAsia="仿宋" w:cs="仿宋_GB2312"/>
          <w:sz w:val="32"/>
          <w:szCs w:val="32"/>
        </w:rPr>
        <w:t>（7）做好廉政档案的更新管理工作。</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4.财务管理部</w:t>
      </w:r>
    </w:p>
    <w:p>
      <w:pPr>
        <w:pStyle w:val="19"/>
        <w:spacing w:line="560" w:lineRule="exact"/>
        <w:ind w:firstLine="643"/>
        <w:rPr>
          <w:rFonts w:ascii="仿宋" w:hAnsi="仿宋" w:eastAsia="仿宋" w:cs="仿宋_GB2312"/>
          <w:b/>
          <w:bCs/>
          <w:sz w:val="32"/>
          <w:szCs w:val="32"/>
        </w:rPr>
      </w:pPr>
      <w:r>
        <w:rPr>
          <w:rFonts w:hint="eastAsia" w:ascii="仿宋" w:hAnsi="仿宋" w:eastAsia="仿宋" w:cs="仿宋_GB2312"/>
          <w:b/>
          <w:bCs/>
          <w:sz w:val="32"/>
          <w:szCs w:val="32"/>
        </w:rPr>
        <w:t>出纳岗</w:t>
      </w:r>
    </w:p>
    <w:p>
      <w:pPr>
        <w:pStyle w:val="19"/>
        <w:spacing w:line="560" w:lineRule="exact"/>
        <w:ind w:firstLine="640"/>
        <w:rPr>
          <w:rFonts w:ascii="仿宋" w:hAnsi="仿宋" w:eastAsia="仿宋" w:cs="仿宋_GB2312"/>
          <w:sz w:val="32"/>
          <w:szCs w:val="32"/>
        </w:rPr>
      </w:pPr>
      <w:r>
        <w:rPr>
          <w:rFonts w:hint="eastAsia" w:ascii="仿宋" w:hAnsi="仿宋" w:eastAsia="仿宋" w:cs="仿宋_GB2312"/>
          <w:sz w:val="32"/>
          <w:szCs w:val="32"/>
        </w:rPr>
        <w:t>（1）按照国家财会法规、公司财会制度的有关规定，认真办理提取和保管现金，完成收付款手续和银行结算业务；</w:t>
      </w:r>
    </w:p>
    <w:p>
      <w:pPr>
        <w:pStyle w:val="19"/>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（2）根据审核无误的手续，办理银行存款、取款和转账结算业务;登记银行存款日记账;及时根据银行存款对收单，在月末做出相应调整，做到银行对账单相符；</w:t>
      </w:r>
    </w:p>
    <w:p>
      <w:pPr>
        <w:pStyle w:val="19"/>
        <w:spacing w:line="560" w:lineRule="exact"/>
        <w:ind w:firstLine="640"/>
        <w:rPr>
          <w:rFonts w:ascii="仿宋" w:hAnsi="仿宋" w:eastAsia="仿宋" w:cs="仿宋_GB2312"/>
          <w:sz w:val="32"/>
          <w:szCs w:val="32"/>
        </w:rPr>
      </w:pPr>
      <w:r>
        <w:rPr>
          <w:rFonts w:hint="eastAsia" w:ascii="仿宋" w:hAnsi="仿宋" w:eastAsia="仿宋" w:cs="仿宋_GB2312"/>
          <w:sz w:val="32"/>
          <w:szCs w:val="32"/>
        </w:rPr>
        <w:t>（3）登记现金和银行日记账，做到月结日清，保证帐证相符、账款相符、账相符，发现差错及时查清更正；</w:t>
      </w:r>
    </w:p>
    <w:p>
      <w:pPr>
        <w:pStyle w:val="19"/>
        <w:spacing w:line="560" w:lineRule="exact"/>
        <w:ind w:firstLine="640"/>
        <w:rPr>
          <w:rFonts w:ascii="仿宋" w:hAnsi="仿宋" w:eastAsia="仿宋" w:cs="仿宋_GB2312"/>
          <w:sz w:val="32"/>
          <w:szCs w:val="32"/>
        </w:rPr>
      </w:pPr>
      <w:r>
        <w:rPr>
          <w:rFonts w:hint="eastAsia" w:ascii="仿宋" w:hAnsi="仿宋" w:eastAsia="仿宋" w:cs="仿宋_GB2312"/>
          <w:sz w:val="32"/>
          <w:szCs w:val="32"/>
        </w:rPr>
        <w:t>（4）认真审查临时借支的用途、金融和批准手续，严格执行采购领用支票的手续，控制使用限额和报销期限；</w:t>
      </w:r>
    </w:p>
    <w:p>
      <w:pPr>
        <w:pStyle w:val="19"/>
        <w:spacing w:line="560" w:lineRule="exact"/>
        <w:ind w:firstLine="640"/>
        <w:rPr>
          <w:rFonts w:hint="eastAsia" w:ascii="仿宋" w:hAnsi="仿宋" w:eastAsia="仿宋" w:cs="仿宋_GB2312"/>
          <w:sz w:val="32"/>
          <w:szCs w:val="32"/>
          <w:lang w:eastAsia="zh-CN"/>
        </w:rPr>
      </w:pPr>
      <w:r>
        <w:rPr>
          <w:rFonts w:hint="eastAsia" w:ascii="仿宋" w:hAnsi="仿宋" w:eastAsia="仿宋" w:cs="仿宋_GB2312"/>
          <w:sz w:val="32"/>
          <w:szCs w:val="32"/>
        </w:rPr>
        <w:t>（5）正确编制现金、银行的记账凭证</w:t>
      </w:r>
      <w:r>
        <w:rPr>
          <w:rFonts w:hint="eastAsia" w:ascii="仿宋" w:hAnsi="仿宋" w:eastAsia="仿宋" w:cs="仿宋_GB2312"/>
          <w:sz w:val="32"/>
          <w:szCs w:val="32"/>
          <w:lang w:eastAsia="zh-CN"/>
        </w:rPr>
        <w:t>；</w:t>
      </w:r>
    </w:p>
    <w:p>
      <w:pPr>
        <w:pStyle w:val="19"/>
        <w:spacing w:line="560" w:lineRule="exact"/>
        <w:ind w:firstLine="640"/>
        <w:rPr>
          <w:rFonts w:ascii="仿宋" w:hAnsi="仿宋" w:eastAsia="仿宋" w:cs="仿宋_GB2312"/>
          <w:sz w:val="32"/>
          <w:szCs w:val="32"/>
        </w:rPr>
      </w:pPr>
      <w:r>
        <w:rPr>
          <w:rFonts w:hint="eastAsia" w:ascii="仿宋" w:hAnsi="仿宋" w:eastAsia="仿宋" w:cs="仿宋_GB2312"/>
          <w:sz w:val="32"/>
          <w:szCs w:val="32"/>
        </w:rPr>
        <w:t>（6）严格审核报销单据、发票等原始凭证，按照费用报销的有关规定，办理现金收支付业务；</w:t>
      </w:r>
    </w:p>
    <w:p>
      <w:pPr>
        <w:pStyle w:val="19"/>
        <w:spacing w:line="560" w:lineRule="exact"/>
        <w:ind w:firstLine="640"/>
        <w:rPr>
          <w:rFonts w:ascii="仿宋" w:hAnsi="仿宋" w:eastAsia="仿宋" w:cs="仿宋_GB2312"/>
          <w:sz w:val="32"/>
          <w:szCs w:val="32"/>
        </w:rPr>
      </w:pPr>
      <w:r>
        <w:rPr>
          <w:rFonts w:hint="eastAsia" w:ascii="仿宋" w:hAnsi="仿宋" w:eastAsia="仿宋" w:cs="仿宋_GB2312"/>
          <w:sz w:val="32"/>
          <w:szCs w:val="32"/>
        </w:rPr>
        <w:t>（7）妥善保管现金、证券、有关印章、空白支票和收据，做好有关单据、账册、报表等会计资料的整理、归档工作。</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5.法律合规部</w:t>
      </w:r>
    </w:p>
    <w:p>
      <w:pPr>
        <w:pStyle w:val="19"/>
        <w:spacing w:line="560" w:lineRule="exact"/>
        <w:ind w:firstLine="643"/>
        <w:rPr>
          <w:rFonts w:ascii="仿宋" w:hAnsi="仿宋" w:eastAsia="仿宋" w:cs="仿宋"/>
          <w:b/>
          <w:sz w:val="32"/>
          <w:szCs w:val="32"/>
        </w:rPr>
      </w:pPr>
      <w:r>
        <w:rPr>
          <w:rFonts w:hint="eastAsia" w:ascii="仿宋" w:hAnsi="仿宋" w:eastAsia="仿宋" w:cs="仿宋"/>
          <w:b/>
          <w:sz w:val="32"/>
          <w:szCs w:val="32"/>
        </w:rPr>
        <w:t>法律合规管理岗</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（1）建设企业内控体系和合规管理体系，履行公司的内控监督评价和合规管理的检查监督职责；</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（2）建设公司法律事务工作体系和法律风险管理机制；</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（3）处理公司重大投资、经营决策、重大经营管理活动的相关法律事务，协助所属企业参与重大经营管理活动，提供法律支持；</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（4）负责公司法律纠纷案件的法律事务工作，提供法律服务，对所属企业涉及重大法律纠纷案件的处理给予指导和协助，负责公司法律纠纷案件的年度统计、分析和整改工作；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（5）负责公司合同管理工作，</w:t>
      </w:r>
      <w:r>
        <w:rPr>
          <w:rFonts w:hint="eastAsia" w:ascii="仿宋" w:hAnsi="仿宋" w:eastAsia="仿宋" w:cs="仿宋_GB2312"/>
          <w:sz w:val="32"/>
          <w:szCs w:val="32"/>
        </w:rPr>
        <w:t>参与重大项目的法律尽职调查、交易模式设计等工作；</w:t>
      </w:r>
    </w:p>
    <w:p>
      <w:pPr>
        <w:spacing w:line="560" w:lineRule="exact"/>
        <w:ind w:firstLine="640" w:firstLineChars="200"/>
        <w:rPr>
          <w:rFonts w:ascii="仿宋" w:hAnsi="仿宋" w:eastAsia="仿宋"/>
          <w:sz w:val="32"/>
          <w:szCs w:val="32"/>
        </w:rPr>
      </w:pPr>
      <w:r>
        <w:rPr>
          <w:rFonts w:hint="eastAsia" w:ascii="仿宋" w:hAnsi="仿宋" w:eastAsia="仿宋" w:cs="仿宋_GB2312"/>
          <w:sz w:val="32"/>
          <w:szCs w:val="32"/>
        </w:rPr>
        <w:t>（6）负</w:t>
      </w:r>
      <w:r>
        <w:rPr>
          <w:rFonts w:hint="eastAsia" w:ascii="仿宋" w:hAnsi="仿宋" w:eastAsia="仿宋"/>
          <w:sz w:val="32"/>
          <w:szCs w:val="32"/>
        </w:rPr>
        <w:t>责公司知识产权保护有关法律工作；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（7）组织开展公司法律培训及普法宣传；</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（8）制定审计计划，协调配合社会鉴证审计、政府审计，组织开展经济责任审计、工程项目审计、年度财务决算审计工作。</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6.工程管理中心</w:t>
      </w:r>
    </w:p>
    <w:p>
      <w:pPr>
        <w:pStyle w:val="19"/>
        <w:spacing w:line="560" w:lineRule="exact"/>
        <w:ind w:firstLine="643"/>
        <w:rPr>
          <w:rFonts w:ascii="仿宋" w:hAnsi="仿宋" w:eastAsia="仿宋" w:cs="仿宋"/>
          <w:b/>
          <w:sz w:val="32"/>
          <w:szCs w:val="32"/>
        </w:rPr>
      </w:pPr>
      <w:r>
        <w:rPr>
          <w:rFonts w:hint="eastAsia" w:ascii="仿宋" w:hAnsi="仿宋" w:eastAsia="仿宋" w:cs="仿宋"/>
          <w:b/>
          <w:sz w:val="32"/>
          <w:szCs w:val="32"/>
        </w:rPr>
        <w:t>招投标管理岗</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对市场环境、竞争对手进行分析，根据调研报告以及公司的战略目标编制工程招投标计划;</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建立并不断完善招投标业务流程，拟定并完善公司材料设备供应管理办法、合同管理办法、招投标管理办法等;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组织对施工单位、各类材料和设备供应商</w:t>
      </w:r>
      <w:r>
        <w:rPr>
          <w:rFonts w:hint="eastAsia" w:ascii="仿宋" w:hAnsi="仿宋" w:eastAsia="仿宋" w:cs="仿宋_GB2312"/>
          <w:sz w:val="32"/>
          <w:szCs w:val="32"/>
        </w:rPr>
        <w:t>、承包商</w:t>
      </w:r>
      <w:r>
        <w:rPr>
          <w:rFonts w:ascii="仿宋" w:hAnsi="仿宋" w:eastAsia="仿宋" w:cs="仿宋_GB2312"/>
          <w:sz w:val="32"/>
          <w:szCs w:val="32"/>
        </w:rPr>
        <w:t>等进行考察、评选、合同谈判和管理;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审核招投标文件</w:t>
      </w:r>
      <w:r>
        <w:rPr>
          <w:rFonts w:hint="eastAsia" w:ascii="仿宋" w:hAnsi="仿宋" w:eastAsia="仿宋" w:cs="仿宋_GB2312"/>
          <w:sz w:val="32"/>
          <w:szCs w:val="32"/>
        </w:rPr>
        <w:t>、</w:t>
      </w:r>
      <w:r>
        <w:rPr>
          <w:rFonts w:ascii="仿宋" w:hAnsi="仿宋" w:eastAsia="仿宋" w:cs="仿宋_GB2312"/>
          <w:sz w:val="32"/>
          <w:szCs w:val="32"/>
        </w:rPr>
        <w:t>工程合同</w:t>
      </w:r>
      <w:r>
        <w:rPr>
          <w:rFonts w:hint="eastAsia" w:ascii="仿宋" w:hAnsi="仿宋" w:eastAsia="仿宋" w:cs="仿宋_GB2312"/>
          <w:sz w:val="32"/>
          <w:szCs w:val="32"/>
        </w:rPr>
        <w:t>、</w:t>
      </w:r>
      <w:r>
        <w:rPr>
          <w:rFonts w:ascii="仿宋" w:hAnsi="仿宋" w:eastAsia="仿宋" w:cs="仿宋_GB2312"/>
          <w:sz w:val="32"/>
          <w:szCs w:val="32"/>
        </w:rPr>
        <w:t>拟发标单位资质</w:t>
      </w:r>
      <w:r>
        <w:rPr>
          <w:rFonts w:hint="eastAsia" w:ascii="仿宋" w:hAnsi="仿宋" w:eastAsia="仿宋" w:cs="仿宋_GB2312"/>
          <w:sz w:val="32"/>
          <w:szCs w:val="32"/>
        </w:rPr>
        <w:t>和</w:t>
      </w:r>
      <w:r>
        <w:rPr>
          <w:rFonts w:ascii="仿宋" w:hAnsi="仿宋" w:eastAsia="仿宋" w:cs="仿宋_GB2312"/>
          <w:sz w:val="32"/>
          <w:szCs w:val="32"/>
        </w:rPr>
        <w:t>招投标工程师报送的综合评标意见;</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监督、指导、控制招投标工作</w:t>
      </w:r>
      <w:r>
        <w:rPr>
          <w:rFonts w:hint="eastAsia" w:ascii="仿宋" w:hAnsi="仿宋" w:eastAsia="仿宋" w:cs="仿宋_GB2312"/>
          <w:sz w:val="32"/>
          <w:szCs w:val="32"/>
        </w:rPr>
        <w:t>，</w:t>
      </w:r>
      <w:r>
        <w:rPr>
          <w:rFonts w:ascii="仿宋" w:hAnsi="仿宋" w:eastAsia="仿宋" w:cs="仿宋_GB2312"/>
          <w:sz w:val="32"/>
          <w:szCs w:val="32"/>
        </w:rPr>
        <w:t>做好与公司各部门、各项目公司的协调与配合;</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组织对承包商与供应商的履约情况考核，建立合格承包商及供应商名册;</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ascii="仿宋" w:hAnsi="仿宋" w:eastAsia="仿宋" w:cs="仿宋_GB2312"/>
          <w:sz w:val="32"/>
          <w:szCs w:val="32"/>
        </w:rPr>
        <w:t>深入各建设工程现场，了解、发现和及时协调解决合约工作的问题，定期组织对各建设工程合约执行情况的检查和抽查;</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（8）负责项目</w:t>
      </w:r>
      <w:r>
        <w:rPr>
          <w:rFonts w:ascii="仿宋" w:hAnsi="仿宋" w:eastAsia="仿宋" w:cs="仿宋_GB2312"/>
          <w:sz w:val="32"/>
          <w:szCs w:val="32"/>
        </w:rPr>
        <w:t>成本费用控制</w:t>
      </w:r>
      <w:r>
        <w:rPr>
          <w:rFonts w:hint="eastAsia" w:ascii="仿宋" w:hAnsi="仿宋" w:eastAsia="仿宋" w:cs="仿宋_GB2312"/>
          <w:sz w:val="32"/>
          <w:szCs w:val="32"/>
        </w:rPr>
        <w:t>，</w:t>
      </w:r>
      <w:r>
        <w:rPr>
          <w:rFonts w:ascii="仿宋" w:hAnsi="仿宋" w:eastAsia="仿宋" w:cs="仿宋_GB2312"/>
          <w:sz w:val="32"/>
          <w:szCs w:val="32"/>
        </w:rPr>
        <w:t>负责招投标项目的节支运行、保证项目最大限度的节能、节支</w:t>
      </w:r>
      <w:r>
        <w:rPr>
          <w:rFonts w:hint="eastAsia" w:ascii="仿宋" w:hAnsi="仿宋" w:eastAsia="仿宋" w:cs="仿宋_GB2312"/>
          <w:sz w:val="32"/>
          <w:szCs w:val="32"/>
        </w:rPr>
        <w:t>，</w:t>
      </w:r>
      <w:r>
        <w:rPr>
          <w:rFonts w:ascii="仿宋" w:hAnsi="仿宋" w:eastAsia="仿宋" w:cs="仿宋_GB2312"/>
          <w:sz w:val="32"/>
          <w:szCs w:val="32"/>
        </w:rPr>
        <w:t>建立成本预算模型，编制项目成本估算与概算，形成目标成本</w:t>
      </w:r>
      <w:r>
        <w:rPr>
          <w:rFonts w:hint="eastAsia" w:ascii="仿宋" w:hAnsi="仿宋" w:eastAsia="仿宋" w:cs="仿宋_GB2312"/>
          <w:sz w:val="32"/>
          <w:szCs w:val="32"/>
        </w:rPr>
        <w:t>。</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工程建设管理岗</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规范工程建设管理，建立、健全工程建设规章制度、工作流程；</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
          <w:sz w:val="32"/>
          <w:szCs w:val="32"/>
        </w:rPr>
        <w:t>建立公司项目设计标准和建造标准，对工程项目各阶段的设计成果进行审核；</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依据授权，参与工程签证、进度申请、结算申请的审核及组织审定竣工资料；</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制定</w:t>
      </w:r>
      <w:r>
        <w:rPr>
          <w:rFonts w:hint="eastAsia" w:ascii="仿宋" w:hAnsi="仿宋" w:eastAsia="仿宋" w:cs="仿宋_GB2312"/>
          <w:sz w:val="32"/>
          <w:szCs w:val="32"/>
        </w:rPr>
        <w:t>工程</w:t>
      </w:r>
      <w:r>
        <w:rPr>
          <w:rFonts w:ascii="仿宋" w:hAnsi="仿宋" w:eastAsia="仿宋" w:cs="仿宋_GB2312"/>
          <w:sz w:val="32"/>
          <w:szCs w:val="32"/>
        </w:rPr>
        <w:t>项目的</w:t>
      </w:r>
      <w:r>
        <w:rPr>
          <w:rFonts w:hint="eastAsia" w:ascii="仿宋" w:hAnsi="仿宋" w:eastAsia="仿宋" w:cs="仿宋_GB2312"/>
          <w:sz w:val="32"/>
          <w:szCs w:val="32"/>
        </w:rPr>
        <w:t>工程进度、</w:t>
      </w:r>
      <w:r>
        <w:rPr>
          <w:rFonts w:ascii="仿宋" w:hAnsi="仿宋" w:eastAsia="仿宋" w:cs="仿宋_GB2312"/>
          <w:sz w:val="32"/>
          <w:szCs w:val="32"/>
        </w:rPr>
        <w:t>质量检查、验收工作、安全文明施工管理计划并监督落实；</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深入各建设工程现场，</w:t>
      </w:r>
      <w:r>
        <w:rPr>
          <w:rFonts w:hint="eastAsia" w:ascii="仿宋" w:hAnsi="仿宋" w:eastAsia="仿宋" w:cs="仿宋_GB2312"/>
          <w:sz w:val="32"/>
          <w:szCs w:val="32"/>
        </w:rPr>
        <w:t>联系各单位、部门，协调解决施工过程中出现的复杂问题；</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处理</w:t>
      </w:r>
      <w:r>
        <w:rPr>
          <w:rFonts w:hint="eastAsia" w:ascii="仿宋" w:hAnsi="仿宋" w:eastAsia="仿宋" w:cs="仿宋_GB2312"/>
          <w:sz w:val="32"/>
          <w:szCs w:val="32"/>
        </w:rPr>
        <w:t>各工程项目出现的</w:t>
      </w:r>
      <w:r>
        <w:rPr>
          <w:rFonts w:ascii="仿宋" w:hAnsi="仿宋" w:eastAsia="仿宋" w:cs="仿宋_GB2312"/>
          <w:sz w:val="32"/>
          <w:szCs w:val="32"/>
        </w:rPr>
        <w:t>重大质量事故、安全事故；</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（7）组织重点项目各参建单位开展项目后评价工作。</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7.资产经营管理中心</w:t>
      </w:r>
    </w:p>
    <w:p>
      <w:pPr>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资产经营管理岗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（1）根据公司总体要求，在中心总经理指导下，拟订公司资产（实体企业）接收工作方案，并组织落实；</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（2）协助组织接收资产（实体企业）项目调研，组织划转对接工作，实施资产划转；</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（3）发展初期参与改革资产（实体企业）接收过程中人员安置及维护稳定工作；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（4）根据接收资产禀赋，协助制定资产分类经营发展方案，并组织实施；</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（5）组织企业资产评估的处置、资产重组方案合规性审核</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（6）部门及个人绩效采取正向激励，与经营业绩挂钩。</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8.健康产业发展中心</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养老产业管理岗</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（1）参与拟定养老产业发展规划及业务方案；</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（2）落实养老业务板块的投资项目筛选、可行性研究、立项申报和组织实施工作；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（3）在中心领导的指导下拟定养老业务具体项目运营方案；</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（4）落实养老业务板块的具体管理工作，在中心领导的指导下拟定养老业务的管理标准、制度、办法；</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（5）在中心领导的指导下推进养老项目的专业化、市场化运营管理，整合国内外一流的养老服务资源，落实与养老运营服务机构、战略投资者等合作方的对接工作；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（6）在中心领导的指导下参与公司养老体系的标准化建设工作；</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（7）在中心领导的指导下开展行业分析，落实养老产业的市场研究、客户研究、案例总结和产品研发；</w:t>
      </w:r>
    </w:p>
    <w:p>
      <w:pPr>
        <w:spacing w:line="56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（8）落实养老产业的营销管理等工作</w:t>
      </w:r>
      <w:r>
        <w:rPr>
          <w:rFonts w:hint="eastAsia" w:ascii="仿宋" w:hAnsi="仿宋" w:eastAsia="仿宋" w:cs="仿宋_GB2312"/>
          <w:sz w:val="32"/>
          <w:szCs w:val="32"/>
          <w:lang w:eastAsia="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（9）部门及个人绩效采取正向激励，与经营业绩挂钩。</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医疗产业管理岗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（1）参与拟定公司健康医疗产业发展方案；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（2）在中心领导指导下开展行业分析，以老年病诊疗及康复、中老年健康管理、保健养生等领域为重点，加强市场研究、目标客户研究、案例研究和产品研发；</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（3）参与拟定具体健康养老项目运营方案；</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（4）在中心领导指导下推进公司健康医疗项目的专业化、市场化运营管理，整合国内外专业的医疗与健康管理资源，落实与医院、医疗投资管理公司、健康管理机构、战略投资者的对接工作；</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（5）协调相关经营单位开展健康医疗业务，制定公司健康医疗项目投资计划与方案，参与实施重大投资项目；</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（6）落实公司医疗健康业务的具体管理工作，在中心领导的指导下拟定健康医疗业务的管理标准、制度、办法</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（7）部门及个人绩效采取正向激励，与经营业绩挂钩。</w:t>
      </w:r>
    </w:p>
    <w:p>
      <w:pPr>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科技智慧管理岗</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（1）负责公司智慧养老相关工作，包括智慧康养云平台建设、智慧养老解决方案设计、销售等；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（2）参与制定公司智慧养老产品规划、负责产品设计和项目执行；</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（3）负责与客户沟通，开展市场调研，进行需求分析及原型设计；</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（4）协调和组织产品版本实施，开展和推动产品团队各项工作流程和业务标准的执行，把控质量；</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（5）分析智慧养老产品的运营增长数据，输出产品改进意见，不断完善产品、持续改善用户体验；</w:t>
      </w:r>
    </w:p>
    <w:p>
      <w:pPr>
        <w:spacing w:line="56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（6）负责产品团队的建设与人才培养，建立持续优化产品管理体系与业务规范，并提升产品团队整体实力</w:t>
      </w:r>
      <w:r>
        <w:rPr>
          <w:rFonts w:hint="eastAsia" w:ascii="仿宋" w:hAnsi="仿宋" w:eastAsia="仿宋" w:cs="仿宋_GB2312"/>
          <w:sz w:val="32"/>
          <w:szCs w:val="32"/>
          <w:lang w:eastAsia="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（7）部门及个人绩效采取正向激励，与经营业绩挂钩。</w:t>
      </w:r>
    </w:p>
    <w:p>
      <w:pPr>
        <w:spacing w:line="600" w:lineRule="exact"/>
        <w:ind w:firstLine="708" w:firstLineChars="196"/>
        <w:outlineLvl w:val="0"/>
        <w:rPr>
          <w:rFonts w:ascii="仿宋" w:hAnsi="仿宋" w:eastAsia="仿宋" w:cs="黑体"/>
          <w:b/>
          <w:sz w:val="36"/>
          <w:szCs w:val="36"/>
        </w:rPr>
      </w:pPr>
    </w:p>
    <w:p>
      <w:pPr>
        <w:spacing w:line="600" w:lineRule="exact"/>
        <w:ind w:firstLine="708" w:firstLineChars="196"/>
        <w:outlineLvl w:val="0"/>
        <w:rPr>
          <w:rFonts w:ascii="仿宋" w:hAnsi="仿宋" w:eastAsia="仿宋" w:cs="黑体"/>
          <w:b/>
          <w:sz w:val="36"/>
          <w:szCs w:val="36"/>
        </w:rPr>
      </w:pPr>
    </w:p>
    <w:p>
      <w:pPr>
        <w:spacing w:line="60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二、任职资格</w:t>
      </w:r>
    </w:p>
    <w:p>
      <w:pPr>
        <w:spacing w:line="600" w:lineRule="exact"/>
        <w:ind w:firstLine="640" w:firstLineChars="200"/>
        <w:rPr>
          <w:rFonts w:ascii="楷体" w:hAnsi="楷体" w:eastAsia="楷体" w:cs="黑体"/>
          <w:bCs/>
          <w:sz w:val="32"/>
          <w:szCs w:val="32"/>
        </w:rPr>
      </w:pPr>
      <w:r>
        <w:rPr>
          <w:rFonts w:hint="eastAsia" w:ascii="楷体" w:hAnsi="楷体" w:eastAsia="楷体" w:cs="黑体"/>
          <w:bCs/>
          <w:sz w:val="32"/>
          <w:szCs w:val="32"/>
        </w:rPr>
        <w:t>（一）基本条件</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1.具有中华人民共和国国籍，具备良好的政治素质，坚持以习近平新时代中国特色社会主义思想为指导，牢固树立“四个意识”，坚定“四个自信”，做到“两个维护”，坚决执行党和国家的方针政策，在思想上政治上行动上同以习近平同志为核心的党中央保持高度一致，自觉遵守政治纪律和政治规矩。</w:t>
      </w:r>
    </w:p>
    <w:p>
      <w:pPr>
        <w:spacing w:line="600" w:lineRule="exact"/>
        <w:ind w:firstLine="640" w:firstLineChars="200"/>
        <w:jc w:val="left"/>
        <w:rPr>
          <w:rFonts w:ascii="仿宋" w:hAnsi="仿宋" w:eastAsia="仿宋" w:cstheme="minorEastAsia"/>
          <w:sz w:val="32"/>
          <w:szCs w:val="32"/>
        </w:rPr>
      </w:pPr>
      <w:r>
        <w:rPr>
          <w:rFonts w:hint="eastAsia" w:ascii="仿宋" w:hAnsi="仿宋" w:eastAsia="仿宋" w:cstheme="minorEastAsia"/>
          <w:sz w:val="32"/>
          <w:szCs w:val="32"/>
        </w:rPr>
        <w:t>2.具有强烈的事业心和责任感，具备岗位职责要求的组织能力、文化水平和专业知识。</w:t>
      </w:r>
    </w:p>
    <w:p>
      <w:pPr>
        <w:spacing w:line="600" w:lineRule="exact"/>
        <w:ind w:firstLine="640" w:firstLineChars="200"/>
        <w:jc w:val="left"/>
        <w:rPr>
          <w:rFonts w:ascii="仿宋" w:hAnsi="仿宋" w:eastAsia="仿宋" w:cstheme="minorEastAsia"/>
          <w:sz w:val="32"/>
          <w:szCs w:val="32"/>
        </w:rPr>
      </w:pPr>
      <w:r>
        <w:rPr>
          <w:rFonts w:hint="eastAsia" w:ascii="仿宋" w:hAnsi="仿宋" w:eastAsia="仿宋" w:cstheme="minorEastAsia"/>
          <w:sz w:val="32"/>
          <w:szCs w:val="32"/>
        </w:rPr>
        <w:t>3.熟悉现代企业管理，具有战略思维，具备把握企业发展全局的能力，熟悉企业业务和运营流程，有较强的决策判断能力、经营管理能力、沟通协调能力、资源整合能力、处理突发事件能力，开拓创新精神和市场竞争意识。</w:t>
      </w:r>
    </w:p>
    <w:p>
      <w:pPr>
        <w:spacing w:line="600" w:lineRule="exact"/>
        <w:ind w:firstLine="640" w:firstLineChars="200"/>
        <w:jc w:val="left"/>
        <w:rPr>
          <w:rFonts w:ascii="仿宋" w:hAnsi="仿宋" w:eastAsia="仿宋" w:cstheme="minorEastAsia"/>
          <w:sz w:val="32"/>
          <w:szCs w:val="32"/>
        </w:rPr>
      </w:pPr>
      <w:r>
        <w:rPr>
          <w:rFonts w:hint="eastAsia" w:ascii="仿宋" w:hAnsi="仿宋" w:eastAsia="仿宋" w:cstheme="minorEastAsia"/>
          <w:sz w:val="32"/>
          <w:szCs w:val="32"/>
        </w:rPr>
        <w:t>4.工作业绩突出，认真履行岗位职责，真抓实干，敢于担当，攻坚克难。</w:t>
      </w:r>
    </w:p>
    <w:p>
      <w:pPr>
        <w:spacing w:line="600" w:lineRule="exact"/>
        <w:ind w:firstLine="640" w:firstLineChars="200"/>
        <w:jc w:val="left"/>
        <w:rPr>
          <w:rFonts w:ascii="仿宋" w:hAnsi="仿宋" w:eastAsia="仿宋" w:cstheme="minorEastAsia"/>
          <w:sz w:val="32"/>
          <w:szCs w:val="32"/>
        </w:rPr>
      </w:pPr>
      <w:r>
        <w:rPr>
          <w:rFonts w:hint="eastAsia" w:ascii="仿宋" w:hAnsi="仿宋" w:eastAsia="仿宋" w:cstheme="minorEastAsia"/>
          <w:sz w:val="32"/>
          <w:szCs w:val="32"/>
        </w:rPr>
        <w:t>5.具有良好的职业道德，遵纪守法，团结合作，廉洁自律，在群众中有威信。</w:t>
      </w:r>
    </w:p>
    <w:p>
      <w:pPr>
        <w:spacing w:line="600" w:lineRule="exact"/>
        <w:ind w:firstLine="640" w:firstLineChars="200"/>
        <w:rPr>
          <w:rFonts w:ascii="仿宋" w:hAnsi="仿宋" w:eastAsia="仿宋" w:cstheme="minorEastAsia"/>
          <w:sz w:val="32"/>
          <w:szCs w:val="32"/>
        </w:rPr>
      </w:pPr>
      <w:r>
        <w:rPr>
          <w:rFonts w:hint="eastAsia" w:ascii="仿宋" w:hAnsi="仿宋" w:eastAsia="仿宋" w:cstheme="minorEastAsia"/>
          <w:sz w:val="32"/>
          <w:szCs w:val="32"/>
        </w:rPr>
        <w:t>6.具有良好的心理素质和能够正常履行职责的身体素质。</w:t>
      </w:r>
    </w:p>
    <w:p>
      <w:pPr>
        <w:spacing w:line="600" w:lineRule="exact"/>
        <w:ind w:firstLine="640" w:firstLineChars="200"/>
        <w:jc w:val="left"/>
        <w:rPr>
          <w:rFonts w:ascii="仿宋" w:hAnsi="仿宋" w:eastAsia="仿宋" w:cstheme="minorEastAsia"/>
          <w:sz w:val="32"/>
          <w:szCs w:val="32"/>
        </w:rPr>
      </w:pPr>
      <w:r>
        <w:rPr>
          <w:rFonts w:hint="eastAsia" w:ascii="仿宋" w:hAnsi="仿宋" w:eastAsia="仿宋" w:cstheme="minorEastAsia"/>
          <w:sz w:val="32"/>
          <w:szCs w:val="32"/>
        </w:rPr>
        <w:t>7.未受过相关行业行政处罚或行业处分，未被追究过刑事责任，未受过党纪政纪处分或受过党纪政纪处分影响期已满。</w:t>
      </w:r>
    </w:p>
    <w:p>
      <w:pPr>
        <w:spacing w:line="600" w:lineRule="exact"/>
        <w:ind w:firstLine="640" w:firstLineChars="200"/>
        <w:rPr>
          <w:rFonts w:ascii="楷体" w:hAnsi="楷体" w:eastAsia="楷体" w:cs="黑体"/>
          <w:bCs/>
          <w:sz w:val="32"/>
          <w:szCs w:val="32"/>
        </w:rPr>
      </w:pPr>
    </w:p>
    <w:p>
      <w:pPr>
        <w:spacing w:line="600" w:lineRule="exact"/>
        <w:ind w:firstLine="640" w:firstLineChars="200"/>
        <w:rPr>
          <w:rFonts w:ascii="楷体" w:hAnsi="楷体" w:eastAsia="楷体" w:cs="黑体"/>
          <w:bCs/>
          <w:sz w:val="32"/>
          <w:szCs w:val="32"/>
        </w:rPr>
      </w:pPr>
      <w:r>
        <w:rPr>
          <w:rFonts w:hint="eastAsia" w:ascii="楷体" w:hAnsi="楷体" w:eastAsia="楷体" w:cs="黑体"/>
          <w:bCs/>
          <w:sz w:val="32"/>
          <w:szCs w:val="32"/>
        </w:rPr>
        <w:t>（二）具体岗位条件</w:t>
      </w:r>
    </w:p>
    <w:p>
      <w:pPr>
        <w:spacing w:line="600" w:lineRule="exact"/>
        <w:ind w:firstLine="643" w:firstLineChars="200"/>
        <w:outlineLvl w:val="0"/>
        <w:rPr>
          <w:rFonts w:ascii="仿宋" w:hAnsi="仿宋" w:eastAsia="仿宋" w:cs="黑体"/>
          <w:b/>
          <w:sz w:val="32"/>
          <w:szCs w:val="32"/>
        </w:rPr>
      </w:pPr>
      <w:r>
        <w:rPr>
          <w:rFonts w:ascii="仿宋" w:hAnsi="仿宋" w:eastAsia="仿宋" w:cs="黑体"/>
          <w:b/>
          <w:sz w:val="32"/>
          <w:szCs w:val="32"/>
        </w:rPr>
        <w:t>1</w:t>
      </w:r>
      <w:r>
        <w:rPr>
          <w:rFonts w:hint="eastAsia" w:ascii="仿宋" w:hAnsi="仿宋" w:eastAsia="仿宋" w:cs="黑体"/>
          <w:b/>
          <w:sz w:val="32"/>
          <w:szCs w:val="32"/>
        </w:rPr>
        <w:t>.北京健康养老集团有限公司本部部室（中心）正职岗位（5名）</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（1）年龄45周岁以下（1976年9月30日以后出生），特别优秀的年龄可适当放宽。</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（2）大学本科及以上学历。</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（3）具有5年以上与应聘岗位相关的工作经验，且同时具备以下条件之一：</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①担任与康养、文旅产业相关的中央企业的三级及以上企业或省属国有企业的二级及以上企业中层正职及以上人员；其中，京能集团内部人员应满足：担任集团总部高级经理（高级主管）；二级一类企业本部部门副职及以上人员（部门副职需满2年，未满2年的应当在同层级岗位和下一级岗位工作累计5年以上）；二级二类企业和三级一类企业部门正职及以上人员（部门正职需满2年，未满2年的应当在同层级岗位和下一级岗位工作累计5年以上）</w:t>
      </w:r>
      <w:bookmarkStart w:id="0" w:name="_Hlk87847628"/>
      <w:r>
        <w:rPr>
          <w:rFonts w:hint="eastAsia" w:ascii="仿宋" w:hAnsi="仿宋" w:eastAsia="仿宋" w:cs="黑体"/>
          <w:bCs/>
          <w:sz w:val="32"/>
          <w:szCs w:val="32"/>
        </w:rPr>
        <w:t>。</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②担任党和国家机关、事业单位、社会团体康养、文旅相关单位或管理部门正科级及以上人员。</w:t>
      </w:r>
    </w:p>
    <w:bookmarkEnd w:id="0"/>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③担任与康养、文旅产业相关的，大型民营企业相关部门正职及以上人员，中小型民营企业高级管理人员。</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（4）具有较强的行业资源对接能力、沟通协调能力和解决复杂问题的能力。</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（5）应聘党务部门岗位需中共党员。</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w:t>
      </w:r>
      <w:r>
        <w:rPr>
          <w:rFonts w:ascii="仿宋" w:hAnsi="仿宋" w:eastAsia="仿宋" w:cs="黑体"/>
          <w:bCs/>
          <w:sz w:val="32"/>
          <w:szCs w:val="32"/>
        </w:rPr>
        <w:t>6</w:t>
      </w:r>
      <w:r>
        <w:rPr>
          <w:rFonts w:hint="eastAsia" w:ascii="仿宋" w:hAnsi="仿宋" w:eastAsia="仿宋" w:cs="黑体"/>
          <w:bCs/>
          <w:sz w:val="32"/>
          <w:szCs w:val="32"/>
        </w:rPr>
        <w:t>）特别优秀者，可适度放宽条件。</w:t>
      </w:r>
    </w:p>
    <w:p>
      <w:pPr>
        <w:spacing w:line="600" w:lineRule="exact"/>
        <w:ind w:firstLine="643" w:firstLineChars="200"/>
        <w:outlineLvl w:val="0"/>
        <w:rPr>
          <w:rFonts w:ascii="仿宋" w:hAnsi="仿宋" w:eastAsia="仿宋" w:cs="黑体"/>
          <w:b/>
          <w:sz w:val="32"/>
          <w:szCs w:val="32"/>
        </w:rPr>
      </w:pPr>
      <w:r>
        <w:rPr>
          <w:rFonts w:ascii="仿宋" w:hAnsi="仿宋" w:eastAsia="仿宋" w:cs="黑体"/>
          <w:b/>
          <w:sz w:val="32"/>
          <w:szCs w:val="32"/>
        </w:rPr>
        <w:t>2</w:t>
      </w:r>
      <w:r>
        <w:rPr>
          <w:rFonts w:hint="eastAsia" w:ascii="仿宋" w:hAnsi="仿宋" w:eastAsia="仿宋" w:cs="黑体"/>
          <w:b/>
          <w:sz w:val="32"/>
          <w:szCs w:val="32"/>
        </w:rPr>
        <w:t>.北京健康养老集团有限公司本部部室（中心）副职岗位（5名）</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（1）年龄45周岁以下（1976年9月30日以后出生），特别优秀的年龄可适当放宽。</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（2）大学本科及以上学历。</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（3）具有3年以上与应聘岗位相关的工作经验，且同时具备以下条件之一：</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①担任与康养、文旅产业相关的中央企业的三级及以上企业或省属国有企业的二级及以上企业中层副职及以上人员；其中，京能集团内部人员应满足：担任集团总部业务经理（业务主管）；二级一类企业本部高级经理及以上人员（高级经理需满3年，未满3年的应当在同层级岗位和下一级岗位工作累计5年以上）；二级二类企业和三级一类企业部门副职及以上人员（部门副职需满3年，未满3年的应当在同层级岗位和下一级岗位工作累计5年以上）。</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②担任党和国家机关、事业单位、社会团体康养、文旅相关单位或管理部门副科级及以上人员。</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③担任与康养、文旅产业相关的，大型民营企业相关部门中层副职及以上人员，中小型民营企业中层正职及以上人员。</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（4）具有较强的行业资源对接能力、沟通协调能力和解决复杂问题的能力。</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（5）应聘党务部门岗位需中共党员。</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w:t>
      </w:r>
      <w:r>
        <w:rPr>
          <w:rFonts w:ascii="仿宋" w:hAnsi="仿宋" w:eastAsia="仿宋" w:cs="黑体"/>
          <w:bCs/>
          <w:sz w:val="32"/>
          <w:szCs w:val="32"/>
        </w:rPr>
        <w:t>6</w:t>
      </w:r>
      <w:r>
        <w:rPr>
          <w:rFonts w:hint="eastAsia" w:ascii="仿宋" w:hAnsi="仿宋" w:eastAsia="仿宋" w:cs="黑体"/>
          <w:bCs/>
          <w:sz w:val="32"/>
          <w:szCs w:val="32"/>
        </w:rPr>
        <w:t>）特别优秀者，可适度放宽条件。</w:t>
      </w:r>
    </w:p>
    <w:p>
      <w:pPr>
        <w:spacing w:line="600" w:lineRule="exact"/>
        <w:ind w:firstLine="643" w:firstLineChars="200"/>
        <w:outlineLvl w:val="0"/>
        <w:rPr>
          <w:rFonts w:ascii="仿宋" w:hAnsi="仿宋" w:eastAsia="仿宋" w:cs="黑体"/>
          <w:b/>
          <w:sz w:val="32"/>
          <w:szCs w:val="32"/>
        </w:rPr>
      </w:pPr>
      <w:r>
        <w:rPr>
          <w:rFonts w:hint="eastAsia" w:ascii="仿宋" w:hAnsi="仿宋" w:eastAsia="仿宋" w:cs="黑体"/>
          <w:b/>
          <w:sz w:val="32"/>
          <w:szCs w:val="32"/>
        </w:rPr>
        <w:t>3.北京康养一般管理人员</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（1）年龄40周岁以下（1981年9月30日以后出生），特别优秀的年龄可适当放宽。</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（2）大学本科及以上学历。</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（3）具有康养、文旅相关产业工作背景者优先。</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（4）具有较强的行业资源对接能力者优先。</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（5）应聘党务部门岗位需中共党员。</w:t>
      </w:r>
    </w:p>
    <w:p>
      <w:pPr>
        <w:spacing w:line="600" w:lineRule="exact"/>
        <w:ind w:firstLine="640" w:firstLineChars="200"/>
        <w:outlineLvl w:val="0"/>
        <w:rPr>
          <w:rFonts w:ascii="仿宋" w:hAnsi="仿宋" w:eastAsia="仿宋" w:cs="黑体"/>
          <w:bCs/>
          <w:sz w:val="32"/>
          <w:szCs w:val="32"/>
        </w:rPr>
      </w:pPr>
      <w:r>
        <w:rPr>
          <w:rFonts w:hint="eastAsia" w:ascii="仿宋" w:hAnsi="仿宋" w:eastAsia="仿宋" w:cs="黑体"/>
          <w:bCs/>
          <w:sz w:val="32"/>
          <w:szCs w:val="32"/>
        </w:rPr>
        <w:t>（</w:t>
      </w:r>
      <w:r>
        <w:rPr>
          <w:rFonts w:ascii="仿宋" w:hAnsi="仿宋" w:eastAsia="仿宋" w:cs="黑体"/>
          <w:bCs/>
          <w:sz w:val="32"/>
          <w:szCs w:val="32"/>
        </w:rPr>
        <w:t>6</w:t>
      </w:r>
      <w:r>
        <w:rPr>
          <w:rFonts w:hint="eastAsia" w:ascii="仿宋" w:hAnsi="仿宋" w:eastAsia="仿宋" w:cs="黑体"/>
          <w:bCs/>
          <w:sz w:val="32"/>
          <w:szCs w:val="32"/>
        </w:rPr>
        <w:t>）特别优秀者，可适度放宽条件。</w:t>
      </w:r>
    </w:p>
    <w:p>
      <w:pPr>
        <w:adjustRightInd w:val="0"/>
        <w:spacing w:line="560" w:lineRule="exact"/>
        <w:jc w:val="left"/>
        <w:textAlignment w:val="baseline"/>
        <w:rPr>
          <w:rFonts w:ascii="仿宋" w:hAnsi="仿宋" w:eastAsia="仿宋" w:cs="仿宋"/>
          <w:b/>
          <w:bCs/>
          <w:sz w:val="44"/>
          <w:szCs w:val="44"/>
        </w:rPr>
      </w:pPr>
    </w:p>
    <w:p>
      <w:pPr>
        <w:spacing w:line="560" w:lineRule="exact"/>
        <w:ind w:firstLine="640" w:firstLineChars="200"/>
        <w:rPr>
          <w:rFonts w:ascii="仿宋" w:hAnsi="仿宋" w:eastAsia="仿宋" w:cs="仿宋"/>
          <w:sz w:val="32"/>
          <w:szCs w:val="32"/>
        </w:rPr>
      </w:pPr>
    </w:p>
    <w:p>
      <w:pPr>
        <w:rPr>
          <w:rFonts w:ascii="仿宋" w:hAnsi="仿宋" w:eastAsia="仿宋"/>
          <w:sz w:val="32"/>
          <w:szCs w:val="32"/>
        </w:rPr>
      </w:pPr>
      <w:bookmarkStart w:id="1" w:name="_GoBack"/>
      <w:bookmarkEnd w:id="1"/>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rPr>
    </w:pPr>
    <w:r>
      <w:rPr>
        <w:sz w:val="24"/>
      </w:rPr>
      <w:fldChar w:fldCharType="begin"/>
    </w:r>
    <w:r>
      <w:rPr>
        <w:sz w:val="24"/>
      </w:rPr>
      <w:instrText xml:space="preserve"> PAGE   \* MERGEFORMAT </w:instrText>
    </w:r>
    <w:r>
      <w:rPr>
        <w:sz w:val="24"/>
      </w:rPr>
      <w:fldChar w:fldCharType="separate"/>
    </w:r>
    <w:r>
      <w:rPr>
        <w:sz w:val="24"/>
        <w:lang w:val="zh-CN"/>
      </w:rPr>
      <w:t>35</w:t>
    </w:r>
    <w:r>
      <w:rPr>
        <w:sz w:val="24"/>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F384F"/>
    <w:multiLevelType w:val="multilevel"/>
    <w:tmpl w:val="61FF384F"/>
    <w:lvl w:ilvl="0" w:tentative="0">
      <w:start w:val="1"/>
      <w:numFmt w:val="japaneseCounting"/>
      <w:pStyle w:val="2"/>
      <w:lvlText w:val="%1、"/>
      <w:lvlJc w:val="left"/>
      <w:pPr>
        <w:ind w:left="1720" w:hanging="720"/>
      </w:pPr>
      <w:rPr>
        <w:rFonts w:hint="default"/>
      </w:rPr>
    </w:lvl>
    <w:lvl w:ilvl="1" w:tentative="0">
      <w:start w:val="1"/>
      <w:numFmt w:val="japaneseCounting"/>
      <w:lvlText w:val="（%2）"/>
      <w:lvlJc w:val="left"/>
      <w:pPr>
        <w:ind w:left="2800" w:hanging="1080"/>
      </w:pPr>
      <w:rPr>
        <w:rFonts w:hint="default"/>
      </w:rPr>
    </w:lvl>
    <w:lvl w:ilvl="2" w:tentative="0">
      <w:start w:val="1"/>
      <w:numFmt w:val="lowerRoman"/>
      <w:lvlText w:val="%3."/>
      <w:lvlJc w:val="right"/>
      <w:pPr>
        <w:ind w:left="2800" w:hanging="180"/>
      </w:pPr>
    </w:lvl>
    <w:lvl w:ilvl="3" w:tentative="0">
      <w:start w:val="1"/>
      <w:numFmt w:val="decimal"/>
      <w:lvlText w:val="%4."/>
      <w:lvlJc w:val="left"/>
      <w:pPr>
        <w:ind w:left="3520" w:hanging="360"/>
      </w:pPr>
    </w:lvl>
    <w:lvl w:ilvl="4" w:tentative="0">
      <w:start w:val="1"/>
      <w:numFmt w:val="lowerLetter"/>
      <w:lvlText w:val="%5."/>
      <w:lvlJc w:val="left"/>
      <w:pPr>
        <w:ind w:left="4240" w:hanging="360"/>
      </w:pPr>
    </w:lvl>
    <w:lvl w:ilvl="5" w:tentative="0">
      <w:start w:val="1"/>
      <w:numFmt w:val="lowerRoman"/>
      <w:lvlText w:val="%6."/>
      <w:lvlJc w:val="right"/>
      <w:pPr>
        <w:ind w:left="4960" w:hanging="180"/>
      </w:pPr>
    </w:lvl>
    <w:lvl w:ilvl="6" w:tentative="0">
      <w:start w:val="1"/>
      <w:numFmt w:val="decimal"/>
      <w:lvlText w:val="%7."/>
      <w:lvlJc w:val="left"/>
      <w:pPr>
        <w:ind w:left="5680" w:hanging="360"/>
      </w:pPr>
    </w:lvl>
    <w:lvl w:ilvl="7" w:tentative="0">
      <w:start w:val="1"/>
      <w:numFmt w:val="lowerLetter"/>
      <w:lvlText w:val="%8."/>
      <w:lvlJc w:val="left"/>
      <w:pPr>
        <w:ind w:left="6400" w:hanging="360"/>
      </w:pPr>
    </w:lvl>
    <w:lvl w:ilvl="8" w:tentative="0">
      <w:start w:val="1"/>
      <w:numFmt w:val="lowerRoman"/>
      <w:lvlText w:val="%9."/>
      <w:lvlJc w:val="right"/>
      <w:pPr>
        <w:ind w:left="7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1AD6"/>
    <w:rsid w:val="0000371E"/>
    <w:rsid w:val="000038BD"/>
    <w:rsid w:val="0001499C"/>
    <w:rsid w:val="00017D24"/>
    <w:rsid w:val="0002288E"/>
    <w:rsid w:val="00025ACE"/>
    <w:rsid w:val="0004225E"/>
    <w:rsid w:val="00053DCF"/>
    <w:rsid w:val="00054E42"/>
    <w:rsid w:val="00062EDB"/>
    <w:rsid w:val="00071D68"/>
    <w:rsid w:val="00073128"/>
    <w:rsid w:val="0007380B"/>
    <w:rsid w:val="00073A51"/>
    <w:rsid w:val="000807FD"/>
    <w:rsid w:val="000815BB"/>
    <w:rsid w:val="0008362A"/>
    <w:rsid w:val="00085E54"/>
    <w:rsid w:val="000918B2"/>
    <w:rsid w:val="00094908"/>
    <w:rsid w:val="000A336D"/>
    <w:rsid w:val="000A3C8A"/>
    <w:rsid w:val="000B49D7"/>
    <w:rsid w:val="000E0125"/>
    <w:rsid w:val="000E5A17"/>
    <w:rsid w:val="00100E23"/>
    <w:rsid w:val="00105F80"/>
    <w:rsid w:val="00112853"/>
    <w:rsid w:val="001130EE"/>
    <w:rsid w:val="001151B3"/>
    <w:rsid w:val="001174B0"/>
    <w:rsid w:val="001235A1"/>
    <w:rsid w:val="00137EFB"/>
    <w:rsid w:val="001460EA"/>
    <w:rsid w:val="0016407C"/>
    <w:rsid w:val="0017022A"/>
    <w:rsid w:val="0017348A"/>
    <w:rsid w:val="001816A6"/>
    <w:rsid w:val="001859FA"/>
    <w:rsid w:val="00193E9A"/>
    <w:rsid w:val="001A3E0D"/>
    <w:rsid w:val="001A400C"/>
    <w:rsid w:val="001A59FA"/>
    <w:rsid w:val="001C3DFA"/>
    <w:rsid w:val="001D1E4B"/>
    <w:rsid w:val="001D520C"/>
    <w:rsid w:val="001F6B67"/>
    <w:rsid w:val="002006A4"/>
    <w:rsid w:val="00210251"/>
    <w:rsid w:val="00210648"/>
    <w:rsid w:val="0021178F"/>
    <w:rsid w:val="002242B4"/>
    <w:rsid w:val="00226711"/>
    <w:rsid w:val="00254D95"/>
    <w:rsid w:val="00265777"/>
    <w:rsid w:val="00283C8F"/>
    <w:rsid w:val="00285542"/>
    <w:rsid w:val="0029243F"/>
    <w:rsid w:val="00297137"/>
    <w:rsid w:val="002A180F"/>
    <w:rsid w:val="002A243A"/>
    <w:rsid w:val="002A38FC"/>
    <w:rsid w:val="002A594E"/>
    <w:rsid w:val="002A7481"/>
    <w:rsid w:val="002A7F32"/>
    <w:rsid w:val="002B0C19"/>
    <w:rsid w:val="002B3991"/>
    <w:rsid w:val="002D2DB4"/>
    <w:rsid w:val="002D3140"/>
    <w:rsid w:val="002D5005"/>
    <w:rsid w:val="002F35FD"/>
    <w:rsid w:val="00322927"/>
    <w:rsid w:val="00323F8F"/>
    <w:rsid w:val="00343555"/>
    <w:rsid w:val="003467A6"/>
    <w:rsid w:val="00366ABA"/>
    <w:rsid w:val="00377C39"/>
    <w:rsid w:val="00380DFE"/>
    <w:rsid w:val="00381F0E"/>
    <w:rsid w:val="00390E21"/>
    <w:rsid w:val="003951A5"/>
    <w:rsid w:val="003A4445"/>
    <w:rsid w:val="003A57F8"/>
    <w:rsid w:val="003C0549"/>
    <w:rsid w:val="003C1B67"/>
    <w:rsid w:val="003C1F9E"/>
    <w:rsid w:val="003C7ACB"/>
    <w:rsid w:val="003D06E4"/>
    <w:rsid w:val="003D23E3"/>
    <w:rsid w:val="003D4236"/>
    <w:rsid w:val="003F058A"/>
    <w:rsid w:val="00402CFB"/>
    <w:rsid w:val="00406504"/>
    <w:rsid w:val="00413A21"/>
    <w:rsid w:val="004270BD"/>
    <w:rsid w:val="00440E18"/>
    <w:rsid w:val="004435FD"/>
    <w:rsid w:val="00444DE4"/>
    <w:rsid w:val="00451D04"/>
    <w:rsid w:val="00466101"/>
    <w:rsid w:val="00467452"/>
    <w:rsid w:val="00474A34"/>
    <w:rsid w:val="00484B8E"/>
    <w:rsid w:val="004851FE"/>
    <w:rsid w:val="00491FBE"/>
    <w:rsid w:val="00492F5D"/>
    <w:rsid w:val="004962ED"/>
    <w:rsid w:val="004B352F"/>
    <w:rsid w:val="004B4700"/>
    <w:rsid w:val="004C2BB3"/>
    <w:rsid w:val="004C46DB"/>
    <w:rsid w:val="004D0545"/>
    <w:rsid w:val="004D4267"/>
    <w:rsid w:val="004F168F"/>
    <w:rsid w:val="004F217F"/>
    <w:rsid w:val="004F2A36"/>
    <w:rsid w:val="004F7194"/>
    <w:rsid w:val="0050236A"/>
    <w:rsid w:val="00511773"/>
    <w:rsid w:val="00513C35"/>
    <w:rsid w:val="00514985"/>
    <w:rsid w:val="005232BD"/>
    <w:rsid w:val="00526D72"/>
    <w:rsid w:val="00527457"/>
    <w:rsid w:val="0053738C"/>
    <w:rsid w:val="00542A1E"/>
    <w:rsid w:val="005460A4"/>
    <w:rsid w:val="005515EE"/>
    <w:rsid w:val="00555016"/>
    <w:rsid w:val="0056027A"/>
    <w:rsid w:val="00561314"/>
    <w:rsid w:val="00561B62"/>
    <w:rsid w:val="005637C1"/>
    <w:rsid w:val="00576F17"/>
    <w:rsid w:val="005811D1"/>
    <w:rsid w:val="005836F5"/>
    <w:rsid w:val="005838E0"/>
    <w:rsid w:val="00583945"/>
    <w:rsid w:val="00591502"/>
    <w:rsid w:val="0059767E"/>
    <w:rsid w:val="00597E5A"/>
    <w:rsid w:val="005A01D0"/>
    <w:rsid w:val="005A43F5"/>
    <w:rsid w:val="005C29A0"/>
    <w:rsid w:val="005E1D73"/>
    <w:rsid w:val="005E21FD"/>
    <w:rsid w:val="005E74D1"/>
    <w:rsid w:val="006053EC"/>
    <w:rsid w:val="00605A91"/>
    <w:rsid w:val="006134FA"/>
    <w:rsid w:val="006137EA"/>
    <w:rsid w:val="00627117"/>
    <w:rsid w:val="006320E0"/>
    <w:rsid w:val="006343E8"/>
    <w:rsid w:val="00641C22"/>
    <w:rsid w:val="006512E6"/>
    <w:rsid w:val="00654E34"/>
    <w:rsid w:val="00661D8B"/>
    <w:rsid w:val="00662FD3"/>
    <w:rsid w:val="00674860"/>
    <w:rsid w:val="00681E52"/>
    <w:rsid w:val="006875B8"/>
    <w:rsid w:val="006931F5"/>
    <w:rsid w:val="006964A8"/>
    <w:rsid w:val="006B76BC"/>
    <w:rsid w:val="006C6112"/>
    <w:rsid w:val="006D3083"/>
    <w:rsid w:val="006D3E39"/>
    <w:rsid w:val="006E5415"/>
    <w:rsid w:val="006F21A8"/>
    <w:rsid w:val="006F7C76"/>
    <w:rsid w:val="00701D8A"/>
    <w:rsid w:val="007541E7"/>
    <w:rsid w:val="0076688B"/>
    <w:rsid w:val="007B6098"/>
    <w:rsid w:val="007E5DDD"/>
    <w:rsid w:val="007F6A8A"/>
    <w:rsid w:val="00803BBA"/>
    <w:rsid w:val="0080499C"/>
    <w:rsid w:val="008227AE"/>
    <w:rsid w:val="00823686"/>
    <w:rsid w:val="00825E2E"/>
    <w:rsid w:val="00827373"/>
    <w:rsid w:val="00837046"/>
    <w:rsid w:val="008529E6"/>
    <w:rsid w:val="00857209"/>
    <w:rsid w:val="0086108F"/>
    <w:rsid w:val="008655E8"/>
    <w:rsid w:val="0086673A"/>
    <w:rsid w:val="00872D6B"/>
    <w:rsid w:val="00880DDC"/>
    <w:rsid w:val="00891D57"/>
    <w:rsid w:val="008A0061"/>
    <w:rsid w:val="008C2316"/>
    <w:rsid w:val="008C698F"/>
    <w:rsid w:val="008D15FD"/>
    <w:rsid w:val="008E09FA"/>
    <w:rsid w:val="008F2265"/>
    <w:rsid w:val="00901738"/>
    <w:rsid w:val="009077F2"/>
    <w:rsid w:val="0091620B"/>
    <w:rsid w:val="00916C70"/>
    <w:rsid w:val="0091752A"/>
    <w:rsid w:val="00927C9B"/>
    <w:rsid w:val="0093126B"/>
    <w:rsid w:val="009411FE"/>
    <w:rsid w:val="0094682E"/>
    <w:rsid w:val="00950594"/>
    <w:rsid w:val="009551C5"/>
    <w:rsid w:val="00976680"/>
    <w:rsid w:val="00981B00"/>
    <w:rsid w:val="00983165"/>
    <w:rsid w:val="009870DB"/>
    <w:rsid w:val="009A3F0A"/>
    <w:rsid w:val="009B1FEB"/>
    <w:rsid w:val="009B3CCB"/>
    <w:rsid w:val="009B462D"/>
    <w:rsid w:val="009B6467"/>
    <w:rsid w:val="009B7B41"/>
    <w:rsid w:val="009C2030"/>
    <w:rsid w:val="009D3CCE"/>
    <w:rsid w:val="009D6D5E"/>
    <w:rsid w:val="009E4C21"/>
    <w:rsid w:val="009F23AE"/>
    <w:rsid w:val="00A018D8"/>
    <w:rsid w:val="00A018D9"/>
    <w:rsid w:val="00A068A6"/>
    <w:rsid w:val="00A140B1"/>
    <w:rsid w:val="00A21B8E"/>
    <w:rsid w:val="00A26E72"/>
    <w:rsid w:val="00A374E9"/>
    <w:rsid w:val="00A37A53"/>
    <w:rsid w:val="00A429CC"/>
    <w:rsid w:val="00A4667D"/>
    <w:rsid w:val="00A46D96"/>
    <w:rsid w:val="00A47722"/>
    <w:rsid w:val="00A53612"/>
    <w:rsid w:val="00A57FCD"/>
    <w:rsid w:val="00A84E73"/>
    <w:rsid w:val="00A84F9D"/>
    <w:rsid w:val="00A87938"/>
    <w:rsid w:val="00A93009"/>
    <w:rsid w:val="00AA044E"/>
    <w:rsid w:val="00AA75A2"/>
    <w:rsid w:val="00AC3003"/>
    <w:rsid w:val="00AD2AA2"/>
    <w:rsid w:val="00AF4D1D"/>
    <w:rsid w:val="00B006A3"/>
    <w:rsid w:val="00B0161B"/>
    <w:rsid w:val="00B031F2"/>
    <w:rsid w:val="00B04B01"/>
    <w:rsid w:val="00B106BE"/>
    <w:rsid w:val="00B1545E"/>
    <w:rsid w:val="00B17E2C"/>
    <w:rsid w:val="00B229A4"/>
    <w:rsid w:val="00B24D91"/>
    <w:rsid w:val="00B25628"/>
    <w:rsid w:val="00B30E32"/>
    <w:rsid w:val="00B36566"/>
    <w:rsid w:val="00B37A87"/>
    <w:rsid w:val="00B51D0F"/>
    <w:rsid w:val="00B5532B"/>
    <w:rsid w:val="00B57B0C"/>
    <w:rsid w:val="00B618EA"/>
    <w:rsid w:val="00B62FC4"/>
    <w:rsid w:val="00B6363D"/>
    <w:rsid w:val="00B65FCA"/>
    <w:rsid w:val="00B70783"/>
    <w:rsid w:val="00B9233C"/>
    <w:rsid w:val="00B92CCA"/>
    <w:rsid w:val="00BA1DF7"/>
    <w:rsid w:val="00BA4B24"/>
    <w:rsid w:val="00BB794F"/>
    <w:rsid w:val="00BE1071"/>
    <w:rsid w:val="00BE789C"/>
    <w:rsid w:val="00C03998"/>
    <w:rsid w:val="00C15D0C"/>
    <w:rsid w:val="00C21FCC"/>
    <w:rsid w:val="00C24E44"/>
    <w:rsid w:val="00C35004"/>
    <w:rsid w:val="00C474F7"/>
    <w:rsid w:val="00C52B34"/>
    <w:rsid w:val="00C53F15"/>
    <w:rsid w:val="00C609D5"/>
    <w:rsid w:val="00C62C17"/>
    <w:rsid w:val="00C65032"/>
    <w:rsid w:val="00C73FFE"/>
    <w:rsid w:val="00C76441"/>
    <w:rsid w:val="00C77B17"/>
    <w:rsid w:val="00C77D7F"/>
    <w:rsid w:val="00C80EEF"/>
    <w:rsid w:val="00C8109E"/>
    <w:rsid w:val="00C95298"/>
    <w:rsid w:val="00CC28BE"/>
    <w:rsid w:val="00CC38EC"/>
    <w:rsid w:val="00CE46AC"/>
    <w:rsid w:val="00D0036E"/>
    <w:rsid w:val="00D1036B"/>
    <w:rsid w:val="00D10CA9"/>
    <w:rsid w:val="00D12623"/>
    <w:rsid w:val="00D13212"/>
    <w:rsid w:val="00D3242A"/>
    <w:rsid w:val="00D32C4D"/>
    <w:rsid w:val="00D36D31"/>
    <w:rsid w:val="00D37C23"/>
    <w:rsid w:val="00D50CEE"/>
    <w:rsid w:val="00D5147B"/>
    <w:rsid w:val="00D54178"/>
    <w:rsid w:val="00D57F2C"/>
    <w:rsid w:val="00D64434"/>
    <w:rsid w:val="00D64FF1"/>
    <w:rsid w:val="00D665B8"/>
    <w:rsid w:val="00D77059"/>
    <w:rsid w:val="00D876BB"/>
    <w:rsid w:val="00D916B6"/>
    <w:rsid w:val="00DA0F93"/>
    <w:rsid w:val="00DB1E04"/>
    <w:rsid w:val="00DB6390"/>
    <w:rsid w:val="00DB64EB"/>
    <w:rsid w:val="00DC1188"/>
    <w:rsid w:val="00DD0F50"/>
    <w:rsid w:val="00DD2E71"/>
    <w:rsid w:val="00DF4EF1"/>
    <w:rsid w:val="00DF4F28"/>
    <w:rsid w:val="00DF7434"/>
    <w:rsid w:val="00E04ACE"/>
    <w:rsid w:val="00E1252C"/>
    <w:rsid w:val="00E12E9C"/>
    <w:rsid w:val="00E1416F"/>
    <w:rsid w:val="00E1559C"/>
    <w:rsid w:val="00E46552"/>
    <w:rsid w:val="00E47F09"/>
    <w:rsid w:val="00E52AFA"/>
    <w:rsid w:val="00E60DD9"/>
    <w:rsid w:val="00E633B2"/>
    <w:rsid w:val="00E80D27"/>
    <w:rsid w:val="00E8260C"/>
    <w:rsid w:val="00E83494"/>
    <w:rsid w:val="00E83D01"/>
    <w:rsid w:val="00E867BC"/>
    <w:rsid w:val="00E96938"/>
    <w:rsid w:val="00EA197A"/>
    <w:rsid w:val="00EA1BBB"/>
    <w:rsid w:val="00EB1D71"/>
    <w:rsid w:val="00EB5D5D"/>
    <w:rsid w:val="00EC590E"/>
    <w:rsid w:val="00EC7D0B"/>
    <w:rsid w:val="00ED2976"/>
    <w:rsid w:val="00ED61F0"/>
    <w:rsid w:val="00EE3C24"/>
    <w:rsid w:val="00EF084E"/>
    <w:rsid w:val="00EF5422"/>
    <w:rsid w:val="00EF57DF"/>
    <w:rsid w:val="00EF6E54"/>
    <w:rsid w:val="00EF7CFE"/>
    <w:rsid w:val="00F07529"/>
    <w:rsid w:val="00F105E2"/>
    <w:rsid w:val="00F13C66"/>
    <w:rsid w:val="00F16565"/>
    <w:rsid w:val="00F1729E"/>
    <w:rsid w:val="00F257AA"/>
    <w:rsid w:val="00F2672D"/>
    <w:rsid w:val="00F355A5"/>
    <w:rsid w:val="00F35BD8"/>
    <w:rsid w:val="00F461A3"/>
    <w:rsid w:val="00F47F42"/>
    <w:rsid w:val="00F51B71"/>
    <w:rsid w:val="00F678F1"/>
    <w:rsid w:val="00F67E2C"/>
    <w:rsid w:val="00F94818"/>
    <w:rsid w:val="00FA6F00"/>
    <w:rsid w:val="00FC2DFD"/>
    <w:rsid w:val="00FC5662"/>
    <w:rsid w:val="00FE210D"/>
    <w:rsid w:val="00FF1AD6"/>
    <w:rsid w:val="00FF2B3E"/>
    <w:rsid w:val="00FF3FCF"/>
    <w:rsid w:val="011A1D27"/>
    <w:rsid w:val="01C2323D"/>
    <w:rsid w:val="02613CC7"/>
    <w:rsid w:val="02E01EAB"/>
    <w:rsid w:val="02E03853"/>
    <w:rsid w:val="041B4A66"/>
    <w:rsid w:val="04C064F3"/>
    <w:rsid w:val="052A1DA4"/>
    <w:rsid w:val="053C034B"/>
    <w:rsid w:val="06251A51"/>
    <w:rsid w:val="066B7DA0"/>
    <w:rsid w:val="06BF7494"/>
    <w:rsid w:val="07A9410D"/>
    <w:rsid w:val="07ED138D"/>
    <w:rsid w:val="08323DCF"/>
    <w:rsid w:val="094315A8"/>
    <w:rsid w:val="09B16F37"/>
    <w:rsid w:val="09F74C63"/>
    <w:rsid w:val="0BD00B93"/>
    <w:rsid w:val="0C46345F"/>
    <w:rsid w:val="0CCF3E7A"/>
    <w:rsid w:val="0D415D61"/>
    <w:rsid w:val="0E4D398E"/>
    <w:rsid w:val="0F237AAB"/>
    <w:rsid w:val="0FB71EF5"/>
    <w:rsid w:val="101C7DFB"/>
    <w:rsid w:val="10727EC3"/>
    <w:rsid w:val="10F7259E"/>
    <w:rsid w:val="12514AF6"/>
    <w:rsid w:val="128C0524"/>
    <w:rsid w:val="132F03B8"/>
    <w:rsid w:val="13830B88"/>
    <w:rsid w:val="13A243B9"/>
    <w:rsid w:val="13A7581C"/>
    <w:rsid w:val="14787A02"/>
    <w:rsid w:val="14810DCA"/>
    <w:rsid w:val="1530002F"/>
    <w:rsid w:val="156309E5"/>
    <w:rsid w:val="15B15558"/>
    <w:rsid w:val="15B84D71"/>
    <w:rsid w:val="16CE4BBC"/>
    <w:rsid w:val="16ED6958"/>
    <w:rsid w:val="17451168"/>
    <w:rsid w:val="17BB4298"/>
    <w:rsid w:val="17CD1F44"/>
    <w:rsid w:val="17FF1F1C"/>
    <w:rsid w:val="185D09B7"/>
    <w:rsid w:val="189839E8"/>
    <w:rsid w:val="18A11CAA"/>
    <w:rsid w:val="1A331912"/>
    <w:rsid w:val="1A5D6E93"/>
    <w:rsid w:val="1B4924DE"/>
    <w:rsid w:val="1B8A1F7F"/>
    <w:rsid w:val="1C180A3F"/>
    <w:rsid w:val="1D360494"/>
    <w:rsid w:val="1DB4210B"/>
    <w:rsid w:val="1E40363D"/>
    <w:rsid w:val="1E870BA8"/>
    <w:rsid w:val="1F0B56C7"/>
    <w:rsid w:val="1F0D7705"/>
    <w:rsid w:val="1F4C3BEF"/>
    <w:rsid w:val="1FFB651A"/>
    <w:rsid w:val="20283E4C"/>
    <w:rsid w:val="213E02DC"/>
    <w:rsid w:val="21E96815"/>
    <w:rsid w:val="220324F6"/>
    <w:rsid w:val="228F5328"/>
    <w:rsid w:val="237D036C"/>
    <w:rsid w:val="23805A88"/>
    <w:rsid w:val="239954AB"/>
    <w:rsid w:val="2463165C"/>
    <w:rsid w:val="24E23AA5"/>
    <w:rsid w:val="255010CF"/>
    <w:rsid w:val="25B57AB5"/>
    <w:rsid w:val="25C0073B"/>
    <w:rsid w:val="25F3622C"/>
    <w:rsid w:val="27216CD7"/>
    <w:rsid w:val="29134AD8"/>
    <w:rsid w:val="29237DD7"/>
    <w:rsid w:val="29951543"/>
    <w:rsid w:val="2A32012D"/>
    <w:rsid w:val="2A506B81"/>
    <w:rsid w:val="2A8A42D4"/>
    <w:rsid w:val="2A9D2F65"/>
    <w:rsid w:val="2ACB2193"/>
    <w:rsid w:val="2B0C4EE6"/>
    <w:rsid w:val="2B532DF5"/>
    <w:rsid w:val="2B8B7498"/>
    <w:rsid w:val="2BB67434"/>
    <w:rsid w:val="2CFF0B3C"/>
    <w:rsid w:val="2DDC5862"/>
    <w:rsid w:val="2E446CAE"/>
    <w:rsid w:val="2E7745D4"/>
    <w:rsid w:val="2E7D6B5C"/>
    <w:rsid w:val="2EF35582"/>
    <w:rsid w:val="2F344C40"/>
    <w:rsid w:val="2F941E59"/>
    <w:rsid w:val="2FA91C38"/>
    <w:rsid w:val="30CA497D"/>
    <w:rsid w:val="31491B90"/>
    <w:rsid w:val="316C7BA5"/>
    <w:rsid w:val="318316D7"/>
    <w:rsid w:val="319F7644"/>
    <w:rsid w:val="32740836"/>
    <w:rsid w:val="32756C55"/>
    <w:rsid w:val="32916A23"/>
    <w:rsid w:val="32BD4484"/>
    <w:rsid w:val="341F761B"/>
    <w:rsid w:val="343F517E"/>
    <w:rsid w:val="34767279"/>
    <w:rsid w:val="350F1661"/>
    <w:rsid w:val="357B32EC"/>
    <w:rsid w:val="36734752"/>
    <w:rsid w:val="36A15192"/>
    <w:rsid w:val="37904307"/>
    <w:rsid w:val="37C652EE"/>
    <w:rsid w:val="38D243BA"/>
    <w:rsid w:val="39D104E4"/>
    <w:rsid w:val="3A2D65BA"/>
    <w:rsid w:val="3A786813"/>
    <w:rsid w:val="3A935942"/>
    <w:rsid w:val="3B43577C"/>
    <w:rsid w:val="3CA72EEA"/>
    <w:rsid w:val="3D5C1C17"/>
    <w:rsid w:val="3D6F1AAD"/>
    <w:rsid w:val="3D72479C"/>
    <w:rsid w:val="3D9B0FC3"/>
    <w:rsid w:val="3DBA6246"/>
    <w:rsid w:val="3DC06903"/>
    <w:rsid w:val="3F3127A1"/>
    <w:rsid w:val="3FC6566C"/>
    <w:rsid w:val="3FFD5EA4"/>
    <w:rsid w:val="406B16B7"/>
    <w:rsid w:val="40B47C0C"/>
    <w:rsid w:val="41665B93"/>
    <w:rsid w:val="42234659"/>
    <w:rsid w:val="422D0DDF"/>
    <w:rsid w:val="425461A4"/>
    <w:rsid w:val="42B5498F"/>
    <w:rsid w:val="42D30D2C"/>
    <w:rsid w:val="43324726"/>
    <w:rsid w:val="441A35DB"/>
    <w:rsid w:val="44367B4C"/>
    <w:rsid w:val="44F37D2D"/>
    <w:rsid w:val="460F11B6"/>
    <w:rsid w:val="46173537"/>
    <w:rsid w:val="46D63E00"/>
    <w:rsid w:val="471C7651"/>
    <w:rsid w:val="47996EBC"/>
    <w:rsid w:val="47B705F7"/>
    <w:rsid w:val="47B752AF"/>
    <w:rsid w:val="485216F9"/>
    <w:rsid w:val="48A31464"/>
    <w:rsid w:val="48FB4F41"/>
    <w:rsid w:val="49786BDC"/>
    <w:rsid w:val="49E4759C"/>
    <w:rsid w:val="4A5448E4"/>
    <w:rsid w:val="4BF9635F"/>
    <w:rsid w:val="4C54374E"/>
    <w:rsid w:val="4C6A61BC"/>
    <w:rsid w:val="4C777D73"/>
    <w:rsid w:val="4CF50852"/>
    <w:rsid w:val="4D704834"/>
    <w:rsid w:val="4DE0731B"/>
    <w:rsid w:val="4E7A097B"/>
    <w:rsid w:val="50610DF5"/>
    <w:rsid w:val="50A256BF"/>
    <w:rsid w:val="50C0733C"/>
    <w:rsid w:val="516136FD"/>
    <w:rsid w:val="51A80C11"/>
    <w:rsid w:val="51B96FDA"/>
    <w:rsid w:val="51C51733"/>
    <w:rsid w:val="523748E6"/>
    <w:rsid w:val="52855704"/>
    <w:rsid w:val="52BC52C4"/>
    <w:rsid w:val="53B7786C"/>
    <w:rsid w:val="552A08C2"/>
    <w:rsid w:val="553526A6"/>
    <w:rsid w:val="55D15EEA"/>
    <w:rsid w:val="561760C5"/>
    <w:rsid w:val="568C6F0D"/>
    <w:rsid w:val="57622938"/>
    <w:rsid w:val="579A5E26"/>
    <w:rsid w:val="57A369C6"/>
    <w:rsid w:val="59606314"/>
    <w:rsid w:val="59FD347C"/>
    <w:rsid w:val="5A0475F5"/>
    <w:rsid w:val="5C6C03F7"/>
    <w:rsid w:val="5C6E2E46"/>
    <w:rsid w:val="5CA6224D"/>
    <w:rsid w:val="5D354C24"/>
    <w:rsid w:val="5EC44D43"/>
    <w:rsid w:val="5EEE1394"/>
    <w:rsid w:val="5F3579D5"/>
    <w:rsid w:val="609E0A4F"/>
    <w:rsid w:val="61487A2D"/>
    <w:rsid w:val="617A0B38"/>
    <w:rsid w:val="61EF0A4E"/>
    <w:rsid w:val="63407AA7"/>
    <w:rsid w:val="638D4F13"/>
    <w:rsid w:val="648953AC"/>
    <w:rsid w:val="64BF2089"/>
    <w:rsid w:val="658B77DB"/>
    <w:rsid w:val="66FA0EF6"/>
    <w:rsid w:val="67995CB2"/>
    <w:rsid w:val="679D67A7"/>
    <w:rsid w:val="68FB06CF"/>
    <w:rsid w:val="690E755A"/>
    <w:rsid w:val="6A33354D"/>
    <w:rsid w:val="6A633B71"/>
    <w:rsid w:val="6AEB5EB1"/>
    <w:rsid w:val="6B0743E9"/>
    <w:rsid w:val="6C083070"/>
    <w:rsid w:val="6C2634F4"/>
    <w:rsid w:val="6C7B2970"/>
    <w:rsid w:val="6C872451"/>
    <w:rsid w:val="6D9B0506"/>
    <w:rsid w:val="6E8F0400"/>
    <w:rsid w:val="6EC94804"/>
    <w:rsid w:val="6EF75930"/>
    <w:rsid w:val="6F1E7C8E"/>
    <w:rsid w:val="70EC2201"/>
    <w:rsid w:val="73276EEE"/>
    <w:rsid w:val="739E5CE6"/>
    <w:rsid w:val="745B4710"/>
    <w:rsid w:val="74826EC2"/>
    <w:rsid w:val="74BA0052"/>
    <w:rsid w:val="74D23940"/>
    <w:rsid w:val="75BA1D70"/>
    <w:rsid w:val="75DC76F8"/>
    <w:rsid w:val="761146C7"/>
    <w:rsid w:val="763323DE"/>
    <w:rsid w:val="7647295A"/>
    <w:rsid w:val="77144045"/>
    <w:rsid w:val="77816B24"/>
    <w:rsid w:val="778B3DF5"/>
    <w:rsid w:val="77AD3270"/>
    <w:rsid w:val="77D65D01"/>
    <w:rsid w:val="78352EB9"/>
    <w:rsid w:val="7B6D0845"/>
    <w:rsid w:val="7B7E5788"/>
    <w:rsid w:val="7BE2694D"/>
    <w:rsid w:val="7C0C0E35"/>
    <w:rsid w:val="7C8B7FC4"/>
    <w:rsid w:val="7D0C1E90"/>
    <w:rsid w:val="7F891770"/>
    <w:rsid w:val="7F943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8"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numPr>
        <w:ilvl w:val="0"/>
        <w:numId w:val="1"/>
      </w:numPr>
      <w:wordWrap w:val="0"/>
      <w:overflowPunct w:val="0"/>
      <w:spacing w:before="75" w:after="75" w:line="360" w:lineRule="auto"/>
      <w:ind w:firstLine="0"/>
      <w:outlineLvl w:val="0"/>
    </w:pPr>
    <w:rPr>
      <w:rFonts w:ascii="仿宋" w:hAnsi="仿宋" w:eastAsia="仿宋"/>
      <w:b/>
      <w:kern w:val="0"/>
      <w:sz w:val="32"/>
      <w:szCs w:val="32"/>
    </w:rPr>
  </w:style>
  <w:style w:type="paragraph" w:styleId="3">
    <w:name w:val="heading 2"/>
    <w:next w:val="1"/>
    <w:qFormat/>
    <w:uiPriority w:val="8"/>
    <w:pPr>
      <w:jc w:val="both"/>
      <w:outlineLvl w:val="1"/>
    </w:pPr>
    <w:rPr>
      <w:rFonts w:ascii="Times New Roman" w:hAnsi="Times New Roman" w:eastAsia="宋体" w:cs="Times New Roman"/>
      <w:sz w:val="21"/>
      <w:szCs w:val="21"/>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21"/>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ind w:left="210"/>
      <w:jc w:val="left"/>
    </w:pPr>
    <w:rPr>
      <w:rFonts w:asciiTheme="minorHAnsi" w:hAnsiTheme="minorHAnsi" w:eastAsiaTheme="minorEastAsia" w:cstheme="minorBidi"/>
      <w:smallCaps/>
      <w:sz w:val="20"/>
      <w:szCs w:val="20"/>
    </w:rPr>
  </w:style>
  <w:style w:type="paragraph" w:styleId="9">
    <w:name w:val="Normal (Web)"/>
    <w:basedOn w:val="1"/>
    <w:unhideWhenUsed/>
    <w:qFormat/>
    <w:uiPriority w:val="99"/>
    <w:rPr>
      <w:rFonts w:ascii="Times New Roman" w:hAnsi="Times New Roman"/>
      <w:sz w:val="24"/>
      <w:szCs w:val="24"/>
    </w:rPr>
  </w:style>
  <w:style w:type="paragraph" w:styleId="10">
    <w:name w:val="annotation subject"/>
    <w:basedOn w:val="4"/>
    <w:next w:val="4"/>
    <w:link w:val="23"/>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page number"/>
    <w:basedOn w:val="13"/>
    <w:qFormat/>
    <w:uiPriority w:val="0"/>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Body text|1"/>
    <w:basedOn w:val="1"/>
    <w:qFormat/>
    <w:uiPriority w:val="0"/>
    <w:pPr>
      <w:spacing w:after="600"/>
    </w:pPr>
    <w:rPr>
      <w:rFonts w:ascii="宋体" w:hAnsi="宋体" w:cs="宋体"/>
      <w:sz w:val="88"/>
      <w:szCs w:val="88"/>
      <w:lang w:val="zh-TW" w:eastAsia="zh-TW" w:bidi="zh-TW"/>
    </w:rPr>
  </w:style>
  <w:style w:type="character" w:customStyle="1" w:styleId="21">
    <w:name w:val="批注框文本 字符"/>
    <w:basedOn w:val="13"/>
    <w:link w:val="5"/>
    <w:semiHidden/>
    <w:qFormat/>
    <w:uiPriority w:val="99"/>
    <w:rPr>
      <w:rFonts w:ascii="Calibri" w:hAnsi="Calibri" w:eastAsia="宋体" w:cs="Times New Roman"/>
      <w:kern w:val="2"/>
      <w:sz w:val="18"/>
      <w:szCs w:val="18"/>
    </w:rPr>
  </w:style>
  <w:style w:type="character" w:customStyle="1" w:styleId="22">
    <w:name w:val="批注文字 字符"/>
    <w:basedOn w:val="13"/>
    <w:link w:val="4"/>
    <w:semiHidden/>
    <w:qFormat/>
    <w:uiPriority w:val="99"/>
    <w:rPr>
      <w:rFonts w:ascii="Calibri" w:hAnsi="Calibri" w:eastAsia="宋体" w:cs="Times New Roman"/>
      <w:kern w:val="2"/>
      <w:sz w:val="21"/>
      <w:szCs w:val="22"/>
    </w:rPr>
  </w:style>
  <w:style w:type="character" w:customStyle="1" w:styleId="23">
    <w:name w:val="批注主题 字符"/>
    <w:basedOn w:val="22"/>
    <w:link w:val="10"/>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2F567D-A85F-4E89-88F9-67A05B04C8C7}">
  <ds:schemaRefs/>
</ds:datastoreItem>
</file>

<file path=docProps/app.xml><?xml version="1.0" encoding="utf-8"?>
<Properties xmlns="http://schemas.openxmlformats.org/officeDocument/2006/extended-properties" xmlns:vt="http://schemas.openxmlformats.org/officeDocument/2006/docPropsVTypes">
  <Template>Normal</Template>
  <Pages>36</Pages>
  <Words>2219</Words>
  <Characters>12649</Characters>
  <Lines>105</Lines>
  <Paragraphs>29</Paragraphs>
  <TotalTime>203</TotalTime>
  <ScaleCrop>false</ScaleCrop>
  <LinksUpToDate>false</LinksUpToDate>
  <CharactersWithSpaces>14839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2021-11-30T01:33:00Z</dcterms:created>
  <dc:creator>slk</dc:creator>
  <cp:lastModifiedBy>xuhui</cp:lastModifiedBy>
  <cp:lastPrinted>2021-11-30T08:37:00Z</cp:lastPrinted>
  <dcterms:modified xsi:type="dcterms:W3CDTF">2021-11-30T12:57:38Z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